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r w:rsidDel="00000000" w:rsidR="00000000" w:rsidRPr="00000000">
        <w:rPr>
          <w:rtl w:val="0"/>
        </w:rPr>
      </w:r>
    </w:p>
    <w:p w:rsidR="00000000" w:rsidDel="00000000" w:rsidP="00000000" w:rsidRDefault="00000000" w:rsidRPr="00000000" w14:paraId="00000002">
      <w:pPr>
        <w:spacing w:line="276" w:lineRule="auto"/>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Narrow" w:cs="Arial Narrow" w:eastAsia="Arial Narrow" w:hAnsi="Arial Narrow"/>
          <w:i w:val="0"/>
          <w:sz w:val="28"/>
          <w:szCs w:val="28"/>
          <w:vertAlign w:val="baseline"/>
        </w:rPr>
      </w:pPr>
      <w:r w:rsidDel="00000000" w:rsidR="00000000" w:rsidRPr="00000000">
        <w:rPr>
          <w:rFonts w:ascii="Arial Narrow" w:cs="Arial Narrow" w:eastAsia="Arial Narrow" w:hAnsi="Arial Narrow"/>
          <w:b w:val="1"/>
          <w:i w:val="1"/>
          <w:sz w:val="28"/>
          <w:szCs w:val="28"/>
          <w:rtl w:val="0"/>
        </w:rPr>
        <w:t xml:space="preserve">Template Format (with advisory annotations) for a Joint Reference Submission to a Timetabling Panel in accordance with the provisions of Chapter H of the CVL ADR Rules</w:t>
      </w:r>
      <w:r w:rsidDel="00000000" w:rsidR="00000000" w:rsidRPr="00000000">
        <w:rPr>
          <w:rtl w:val="0"/>
        </w:rPr>
      </w:r>
    </w:p>
    <w:p w:rsidR="00000000" w:rsidDel="00000000" w:rsidP="00000000" w:rsidRDefault="00000000" w:rsidRPr="00000000" w14:paraId="00000004">
      <w:pPr>
        <w:spacing w:after="120" w:line="276"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template, as required by Rule H21 (a) is to be used by Dispute Parties to prepare a Joint Submission for a Timetabling Panel (TTP)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0"/>
          <w:strike w:val="0"/>
          <w:color w:val="000000"/>
          <w:u w:val="none"/>
          <w:shd w:fill="auto" w:val="clear"/>
          <w:vertAlign w:val="baseline"/>
        </w:rPr>
      </w:pPr>
      <w:bookmarkStart w:colFirst="0" w:colLast="0" w:name="_heading=h.30j0zll" w:id="0"/>
      <w:bookmarkEnd w:id="0"/>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“20     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b w:val="1"/>
          <w:i w:val="0"/>
          <w:smallCaps w:val="0"/>
          <w:strike w:val="0"/>
          <w:color w:val="000000"/>
          <w:shd w:fill="auto" w:val="clear"/>
          <w:vertAlign w:val="baseline"/>
        </w:rPr>
      </w:pPr>
      <w:bookmarkStart w:colFirst="0" w:colLast="0" w:name="_heading=h.1fob9te" w:id="1"/>
      <w:bookmarkEnd w:id="1"/>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agree to submit a joint reference they shall, within 14 days of notification of the appointment of the Hearing Chair, submit a joint reference in accordance with the template format for a joint reference (found on the access disputes website) as may be adapted by the Hearing Chair in respect of a particular dispute;”</w:t>
      </w:r>
      <w:r w:rsidDel="00000000" w:rsidR="00000000" w:rsidRPr="00000000">
        <w:rPr>
          <w:rtl w:val="0"/>
        </w:rPr>
      </w:r>
    </w:p>
    <w:p w:rsidR="00000000" w:rsidDel="00000000" w:rsidP="00000000" w:rsidRDefault="00000000" w:rsidRPr="00000000" w14:paraId="0000000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b w:val="1"/>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do not agree to submit a joint reference in accordance with (a) above:…..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rtl w:val="0"/>
        </w:rPr>
        <w:t xml:space="preserve">Parties will submit a single joint reference following instruction from the Hearing Chair</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rtl w:val="0"/>
        </w:rPr>
        <w:t xml:space="preserve">As</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many Timetabling disputes are subject to the time constraints of the Timetabling process, template formats are provided in order that the Parties shall be prompted to ensure that all material relevant to their respective arguments are immediately available</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the Timetabling Panel in good time for the hearing, and</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be published on the Access Disputes Committee’s website;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always bearing in mind that </w:t>
      </w:r>
    </w:p>
    <w:p w:rsidR="00000000" w:rsidDel="00000000" w:rsidP="00000000" w:rsidRDefault="00000000" w:rsidRPr="00000000" w14:paraId="00000010">
      <w:pPr>
        <w:spacing w:after="120"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276" w:lineRule="auto"/>
        <w:ind w:left="1080" w:right="0" w:firstLine="0"/>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 joint reference shall be no longer than 20 pages;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H23].</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firstLine="0"/>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p>
    <w:p w:rsidR="00000000" w:rsidDel="00000000" w:rsidP="00000000" w:rsidRDefault="00000000" w:rsidRPr="00000000" w14:paraId="0000001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i.e.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Claimant"); and</w:t>
      </w:r>
    </w:p>
    <w:p w:rsidR="00000000" w:rsidDel="00000000" w:rsidP="00000000" w:rsidRDefault="00000000" w:rsidRPr="00000000" w14:paraId="0000001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rtl w:val="0"/>
        </w:rPr>
        <w:t xml:space="preserve">Keolis Amey Operations / Gweithrediadau Keolis Amey Limited</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rtl w:val="0"/>
        </w:rPr>
        <w:t xml:space="preserve">11389531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rtl w:val="0"/>
        </w:rPr>
        <w:t xml:space="preserve">2 Callaghan Square, Cardiff, United Kingdom, CF10 5BT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AKIL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Defendant").</w:t>
      </w:r>
    </w:p>
    <w:p w:rsidR="00000000" w:rsidDel="00000000" w:rsidP="00000000" w:rsidRDefault="00000000" w:rsidRPr="00000000" w14:paraId="0000001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either Dispute Party is aware that any third party may be affected by the Panel finding in any of the ways sought in Section 8 of this template, they should ensure that this information is conveyed to the Secretary to the ADC at the earliest possible opportunity, and the names of the relevant parties recorded here.   There is no expectation that such parties shall participate in the submission of the principal Joint Submission;  the affected Parties should seek the guidance of the Secretary or Hearing Chair as to any format to be used in respect of their representations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PARTIES’ RIGHT TO BRING THIS REFERENCE</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 Timetabling Panel] ("the TTP") for determination in accordance with Condition</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 </w:t>
      </w:r>
      <w:r w:rsidDel="00000000" w:rsidR="00000000" w:rsidRPr="00000000">
        <w:rPr>
          <w:rFonts w:ascii="Arial Narrow" w:cs="Arial Narrow" w:eastAsia="Arial Narrow" w:hAnsi="Arial Narrow"/>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Network Code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Parties need to make explicitly clear what provisions of their contract entitle, or direct, them to bring their dispute before a Timetabling Panel.   This means a summary,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Parties have together produced this joint reference and it includes:-</w:t>
      </w:r>
    </w:p>
    <w:p w:rsidR="00000000" w:rsidDel="00000000" w:rsidP="00000000" w:rsidRDefault="00000000" w:rsidRPr="00000000" w14:paraId="0000001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subject matter of the dispute in Section 4;</w:t>
      </w:r>
    </w:p>
    <w:p w:rsidR="00000000" w:rsidDel="00000000" w:rsidP="00000000" w:rsidRDefault="00000000" w:rsidRPr="00000000" w14:paraId="0000002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summary of the issues in dispute in Section 5;</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detailed explanation of the issues in dispute prepared by the claimant with a paragraph by paragraph response from the defendant in Section 6;</w:t>
      </w:r>
    </w:p>
    <w:p w:rsidR="00000000" w:rsidDel="00000000" w:rsidP="00000000" w:rsidRDefault="00000000" w:rsidRPr="00000000" w14:paraId="000000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further issues raised by the respondent in Section 7; </w:t>
      </w:r>
    </w:p>
    <w:p w:rsidR="00000000" w:rsidDel="00000000" w:rsidP="00000000" w:rsidRDefault="00000000" w:rsidRPr="00000000" w14:paraId="000000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In Section 8, the decisions of principle sought from the Panel in respect of </w:t>
      </w:r>
    </w:p>
    <w:p w:rsidR="00000000" w:rsidDel="00000000" w:rsidP="00000000" w:rsidRDefault="00000000" w:rsidRPr="00000000" w14:paraId="0000002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276"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legal entitlement and </w:t>
      </w:r>
    </w:p>
    <w:p w:rsidR="00000000" w:rsidDel="00000000" w:rsidP="00000000" w:rsidRDefault="00000000" w:rsidRPr="00000000" w14:paraId="00000025">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276"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remedies;</w:t>
      </w:r>
    </w:p>
    <w:p w:rsidR="00000000" w:rsidDel="00000000" w:rsidP="00000000" w:rsidRDefault="00000000" w:rsidRPr="00000000" w14:paraId="000000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Appendices and other supporting material.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p>
    <w:p w:rsidR="00000000" w:rsidDel="00000000" w:rsidP="00000000" w:rsidRDefault="00000000" w:rsidRPr="00000000" w14:paraId="0000002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p>
    <w:p w:rsidR="00000000" w:rsidDel="00000000" w:rsidP="00000000" w:rsidRDefault="00000000" w:rsidRPr="00000000" w14:paraId="000000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276" w:lineRule="auto"/>
        <w:ind w:left="90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 dispute regarding the allocation of maintenance responsibilities”</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276" w:lineRule="auto"/>
        <w:ind w:left="90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 dispute as to an offer of train slots”.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Then provide details of the Condition in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Network Code, or the relevant provisions of the Track Access Contract that the dispute relates to, or is associated with.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dispute arises over the interpretation of Condition ● of the Network Code /section ●/Schedule ● of the Track Access Contract/  </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Ensure that a copy of the relevant extract(s) from the document(s) referred to above is/are attached at Annex ● or that the reference is accompanied by ● indexed lever arch file(s) containing documents referred to in this Reference.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w:t>
      </w:r>
      <w:r w:rsidDel="00000000" w:rsidR="00000000" w:rsidRPr="00000000">
        <w:rPr>
          <w:rFonts w:ascii="Arial Narrow" w:cs="Arial Narrow" w:eastAsia="Arial Narrow" w:hAnsi="Arial Narrow"/>
          <w:b w:val="1"/>
          <w:i w:val="1"/>
          <w:smallCaps w:val="0"/>
          <w:strike w:val="0"/>
          <w:color w:val="000000"/>
          <w:u w:val="singl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Network Code.  However,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the parties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Panel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are relevant to the dispute.  The relevant parts must also be copied and annexed to this submission.</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p>
    <w:p w:rsidR="00000000" w:rsidDel="00000000" w:rsidP="00000000" w:rsidRDefault="00000000" w:rsidRPr="00000000" w14:paraId="0000003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as is necessary to ensure a common level of understanding of all members of the Panel,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OF EACH ISSUE IN DISPUTE WITH RESPONSE</w:t>
      </w:r>
    </w:p>
    <w:p w:rsidR="00000000" w:rsidDel="00000000" w:rsidP="00000000" w:rsidRDefault="00000000" w:rsidRPr="00000000" w14:paraId="0000003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1</w:t>
      </w:r>
    </w:p>
    <w:p w:rsidR="00000000" w:rsidDel="00000000" w:rsidP="00000000" w:rsidRDefault="00000000" w:rsidRPr="00000000" w14:paraId="0000003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Arguments of Claimant.</w:t>
      </w:r>
    </w:p>
    <w:p w:rsidR="00000000" w:rsidDel="00000000" w:rsidP="00000000" w:rsidRDefault="00000000" w:rsidRPr="00000000" w14:paraId="0000003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Response by Defendant.</w:t>
      </w:r>
    </w:p>
    <w:p w:rsidR="00000000" w:rsidDel="00000000" w:rsidP="00000000" w:rsidRDefault="00000000" w:rsidRPr="00000000" w14:paraId="0000003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2</w:t>
      </w:r>
    </w:p>
    <w:p w:rsidR="00000000" w:rsidDel="00000000" w:rsidP="00000000" w:rsidRDefault="00000000" w:rsidRPr="00000000" w14:paraId="0000003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Arguments of Claimant.</w:t>
      </w:r>
    </w:p>
    <w:p w:rsidR="00000000" w:rsidDel="00000000" w:rsidP="00000000" w:rsidRDefault="00000000" w:rsidRPr="00000000" w14:paraId="0000003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Response by Defendant.</w:t>
      </w:r>
    </w:p>
    <w:p w:rsidR="00000000" w:rsidDel="00000000" w:rsidP="00000000" w:rsidRDefault="00000000" w:rsidRPr="00000000" w14:paraId="0000003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etc.etc.</w:t>
      </w:r>
    </w:p>
    <w:p w:rsidR="00000000" w:rsidDel="00000000" w:rsidP="00000000" w:rsidRDefault="00000000" w:rsidRPr="00000000" w14:paraId="00000040">
      <w:pPr>
        <w:spacing w:after="120"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This format has been found to assist parties and Panel members to focus clearly on the matters that require determination, and the parties will be expected to have had sufficient dialogue with each other to ensure that the submission meets these requirements.</w:t>
      </w:r>
      <w:r w:rsidDel="00000000" w:rsidR="00000000" w:rsidRPr="00000000">
        <w:rPr>
          <w:rtl w:val="0"/>
        </w:rPr>
      </w:r>
    </w:p>
    <w:p w:rsidR="00000000" w:rsidDel="00000000" w:rsidP="00000000" w:rsidRDefault="00000000" w:rsidRPr="00000000" w14:paraId="00000041">
      <w:pPr>
        <w:spacing w:after="120"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However, if the parties agree that their dispute would be more clearly presented if, for example, all the referring Dispute Party's arguments are presented first (in one continuous narrative), followed by the other Dispute Party's case (again in a single narrative) they may adapt the template accordingly.</w:t>
      </w:r>
      <w:r w:rsidDel="00000000" w:rsidR="00000000" w:rsidRPr="00000000">
        <w:rPr>
          <w:rtl w:val="0"/>
        </w:rPr>
      </w:r>
    </w:p>
    <w:p w:rsidR="00000000" w:rsidDel="00000000" w:rsidP="00000000" w:rsidRDefault="00000000" w:rsidRPr="00000000" w14:paraId="00000042">
      <w:pPr>
        <w:spacing w:after="120" w:line="276" w:lineRule="auto"/>
        <w:rPr>
          <w:rFonts w:ascii="Arial Narrow" w:cs="Arial Narrow" w:eastAsia="Arial Narrow" w:hAnsi="Arial Narrow"/>
          <w:i w:val="0"/>
          <w:smallCaps w:val="0"/>
          <w:vertAlign w:val="baseline"/>
        </w:rPr>
      </w:pPr>
      <w:r w:rsidDel="00000000" w:rsidR="00000000" w:rsidRPr="00000000">
        <w:rPr>
          <w:rFonts w:ascii="Arial Narrow" w:cs="Arial Narrow" w:eastAsia="Arial Narrow" w:hAnsi="Arial Narrow"/>
          <w:i w:val="1"/>
          <w:vertAlign w:val="baseline"/>
          <w:rtl w:val="0"/>
        </w:rPr>
        <w:t xml:space="preserve">In all other circumstances, including where the parties cannot agree how the template should be adapted, the submission should follow the default format in this Template.</w:t>
      </w:r>
      <w:r w:rsidDel="00000000" w:rsidR="00000000" w:rsidRPr="00000000">
        <w:rPr>
          <w:rtl w:val="0"/>
        </w:rPr>
      </w:r>
    </w:p>
    <w:p w:rsidR="00000000" w:rsidDel="00000000" w:rsidP="00000000" w:rsidRDefault="00000000" w:rsidRPr="00000000" w14:paraId="00000043">
      <w:pPr>
        <w:spacing w:after="120"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Whichever framework is adopted for the presentation of arguments, parties should keep in mind that the Panel needs to be given</w:t>
      </w:r>
      <w:r w:rsidDel="00000000" w:rsidR="00000000" w:rsidRPr="00000000">
        <w:rPr>
          <w:rtl w:val="0"/>
        </w:rPr>
      </w:r>
    </w:p>
    <w:p w:rsidR="00000000" w:rsidDel="00000000" w:rsidP="00000000" w:rsidRDefault="00000000" w:rsidRPr="00000000" w14:paraId="00000044">
      <w:pPr>
        <w:numPr>
          <w:ilvl w:val="0"/>
          <w:numId w:val="2"/>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parties respective positions..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5">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parties are in dispute, noted in such a way that  the extent of the difference between the parties can be clearly appreciated;</w:t>
      </w:r>
      <w:r w:rsidDel="00000000" w:rsidR="00000000" w:rsidRPr="00000000">
        <w:rPr>
          <w:rtl w:val="0"/>
        </w:rPr>
      </w:r>
    </w:p>
    <w:p w:rsidR="00000000" w:rsidDel="00000000" w:rsidP="00000000" w:rsidRDefault="00000000" w:rsidRPr="00000000" w14:paraId="00000046">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in each instance whether the point of difference is primarily one of principle, or whether the parties are agreed on the point of principle and differ only in respect of the applicability of the principle to a specific instance, or on a matter of quantification;</w:t>
      </w:r>
      <w:r w:rsidDel="00000000" w:rsidR="00000000" w:rsidRPr="00000000">
        <w:rPr>
          <w:rtl w:val="0"/>
        </w:rPr>
      </w:r>
    </w:p>
    <w:p w:rsidR="00000000" w:rsidDel="00000000" w:rsidP="00000000" w:rsidRDefault="00000000" w:rsidRPr="00000000" w14:paraId="00000047">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difference between the two positions (e.g.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8">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9">
      <w:pPr>
        <w:spacing w:after="120" w:line="276"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ANY FURTHER ISSUES RAISED </w:t>
      </w:r>
    </w:p>
    <w:p w:rsidR="00000000" w:rsidDel="00000000" w:rsidP="00000000" w:rsidRDefault="00000000" w:rsidRPr="00000000" w14:paraId="000000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Defendant may list any further claim or counter-issue that it wishes to be resolved as a necessary corollary of bringing the dispute.</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Response by Claimant to any of the issues raised by the Defendant in 7.1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PANEL</w:t>
      </w:r>
    </w:p>
    <w:p w:rsidR="00000000" w:rsidDel="00000000" w:rsidP="00000000" w:rsidRDefault="00000000" w:rsidRPr="00000000" w14:paraId="0000004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Each Dispute Party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5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5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3znysh7" w:id="2"/>
      <w:bookmarkEnd w:id="2"/>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Each Dispute Party will have a clear reason why they have not already settled the dispute, and the result that each wishes the Panel to deliver.   There is need therefore for each Dispute Party to set down clearly what they want the Panel to find in their favour.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Panel should be the first thing finalised, and each Dispute Party then marshals its arguments to support that case.   That said, parties should be satisfied that the decision sought is one that a Panel can give. </w:t>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w:t>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List any specific remedies.  For example “as a result of the decided principle(s) above, the Claimant is to pay £X to the Claimant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r w:rsidDel="00000000" w:rsidR="00000000" w:rsidRPr="00000000">
        <w:rPr>
          <w:rFonts w:ascii="Arial Narrow" w:cs="Arial Narrow" w:eastAsia="Arial Narrow" w:hAnsi="Arial Narrow"/>
          <w:i w:val="1"/>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Dispute Party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Clarify whether you wish the Panel to decide other issues – such as costs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parties confirm that they have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H21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Access Dispute Resolution Rules, which requires that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276" w:lineRule="auto"/>
        <w:ind w:left="1200" w:right="0" w:hanging="480"/>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276" w:lineRule="auto"/>
        <w:ind w:left="1200" w:right="0" w:hanging="480"/>
        <w:jc w:val="left"/>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Extracts are included where the dispute relates to previous (i.e. no longer current) versions of the documents.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the Committee secretary will be consecutively numbered, so as to follow on at the conclusion of the previous submission.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SIGNATURES</w:t>
      </w:r>
    </w:p>
    <w:tbl>
      <w:tblPr>
        <w:tblStyle w:val="Table1"/>
        <w:tblW w:w="8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gridCol w:w="4146"/>
        <w:tblGridChange w:id="0">
          <w:tblGrid>
            <w:gridCol w:w="4145"/>
            <w:gridCol w:w="4146"/>
          </w:tblGrid>
        </w:tblGridChange>
      </w:tblGrid>
      <w:tr>
        <w:tc>
          <w:tcPr>
            <w:vAlign w:val="top"/>
          </w:tcPr>
          <w:p w:rsidR="00000000" w:rsidDel="00000000" w:rsidP="00000000" w:rsidRDefault="00000000" w:rsidRPr="00000000" w14:paraId="0000006F">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Claimant</w:t>
            </w:r>
          </w:p>
          <w:p w:rsidR="00000000" w:rsidDel="00000000" w:rsidP="00000000" w:rsidRDefault="00000000" w:rsidRPr="00000000" w14:paraId="00000070">
            <w:pPr>
              <w:spacing w:line="276" w:lineRule="auto"/>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71">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Defendant</w:t>
            </w:r>
          </w:p>
        </w:tc>
      </w:tr>
      <w:tr>
        <w:tc>
          <w:tcPr>
            <w:vAlign w:val="top"/>
          </w:tcPr>
          <w:p w:rsidR="00000000" w:rsidDel="00000000" w:rsidP="00000000" w:rsidRDefault="00000000" w:rsidRPr="00000000" w14:paraId="00000072">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73">
            <w:pPr>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company name</w:t>
            </w:r>
            <w:r w:rsidDel="00000000" w:rsidR="00000000" w:rsidRPr="00000000">
              <w:rPr>
                <w:rtl w:val="0"/>
              </w:rPr>
            </w:r>
          </w:p>
          <w:p w:rsidR="00000000" w:rsidDel="00000000" w:rsidP="00000000" w:rsidRDefault="00000000" w:rsidRPr="00000000" w14:paraId="00000074">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5">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76">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7">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79">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A">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B">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C">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D">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c>
          <w:tcPr>
            <w:vAlign w:val="top"/>
          </w:tcPr>
          <w:p w:rsidR="00000000" w:rsidDel="00000000" w:rsidP="00000000" w:rsidRDefault="00000000" w:rsidRPr="00000000" w14:paraId="0000007E">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r w:rsidDel="00000000" w:rsidR="00000000" w:rsidRPr="00000000">
              <w:rPr>
                <w:rFonts w:ascii="Arial Narrow" w:cs="Arial Narrow" w:eastAsia="Arial Narrow" w:hAnsi="Arial Narrow"/>
                <w:rtl w:val="0"/>
              </w:rPr>
              <w:t xml:space="preserve"> Keolis Amey Operations / Gweithrediadau Keolis Amey Limited</w:t>
            </w:r>
            <w:r w:rsidDel="00000000" w:rsidR="00000000" w:rsidRPr="00000000">
              <w:rPr>
                <w:rtl w:val="0"/>
              </w:rPr>
            </w:r>
          </w:p>
          <w:p w:rsidR="00000000" w:rsidDel="00000000" w:rsidP="00000000" w:rsidRDefault="00000000" w:rsidRPr="00000000" w14:paraId="0000007F">
            <w:pPr>
              <w:spacing w:line="276"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80">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81">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82">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3">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85">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6">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87">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Panel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8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900" w:right="0" w:firstLine="0"/>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each Dispute Party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ensure that…the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F">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Annexes and Appendices</w:t>
      </w:r>
    </w:p>
    <w:sectPr>
      <w:headerReference r:id="rId7"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8"/>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8BBvAFY/haiX9it5Cz6SszBYg==">AMUW2mXlCTWHadO87U+Y8D/+kJtojbI+V+pCoKE/5Gju1NOacbX0KouSD6xWy592gw2eh7rScHpRUtS2DUEr2PlJePoN6gsPYoTgNXUmMr9on7OawkGm6JJXA5owjoaX2N/pK+wrx1lISUcJt+DR59pW8xjx4+/Eyg==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2010-12-15T12:52:00Z</dcterms:created>
  <dc:creator>Kennett</dc:creator>
</cp:coreProperties>
</file>