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CVL ACCESS DISPUTE RESOLUTION RULES</w:t>
      </w:r>
      <w:r w:rsidDel="00000000" w:rsidR="00000000" w:rsidRPr="00000000">
        <w:rPr>
          <w:rtl w:val="0"/>
        </w:rPr>
      </w:r>
    </w:p>
    <w:p w:rsidR="00000000" w:rsidDel="00000000" w:rsidP="00000000" w:rsidRDefault="00000000" w:rsidRPr="00000000" w14:paraId="00000002">
      <w:pPr>
        <w:spacing w:line="276" w:lineRule="auto"/>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Template Format (with advisory annotations) for a Sole Reference by a Claimant to a Timetabling Panel in accordance with the provisions of Chapter H of the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Narrow" w:cs="Arial Narrow" w:eastAsia="Arial Narrow" w:hAnsi="Arial Narrow"/>
          <w:sz w:val="28"/>
          <w:szCs w:val="28"/>
          <w:vertAlign w:val="baseline"/>
        </w:rPr>
      </w:pPr>
      <w:r w:rsidDel="00000000" w:rsidR="00000000" w:rsidRPr="00000000">
        <w:rPr>
          <w:rFonts w:ascii="Arial Narrow" w:cs="Arial Narrow" w:eastAsia="Arial Narrow" w:hAnsi="Arial Narrow"/>
          <w:b w:val="1"/>
          <w:sz w:val="28"/>
          <w:szCs w:val="28"/>
          <w:rtl w:val="0"/>
        </w:rPr>
        <w:t xml:space="preserve">CVL ADR Rules</w:t>
      </w:r>
      <w:r w:rsidDel="00000000" w:rsidR="00000000" w:rsidRPr="00000000">
        <w:rPr>
          <w:rtl w:val="0"/>
        </w:rPr>
      </w:r>
    </w:p>
    <w:p w:rsidR="00000000" w:rsidDel="00000000" w:rsidP="00000000" w:rsidRDefault="00000000" w:rsidRPr="00000000" w14:paraId="00000005">
      <w:pPr>
        <w:spacing w:after="120" w:line="276"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This template, as required by ADR Rule H21 (b) is to be used by the Claimant Dispute Party to prepare a Submission for a Timetabling Panel Hearing.   Within the Template, text in Italics is advisory, and should, once taken into account, be deleted from the final document. </w:t>
      </w:r>
      <w:r w:rsidDel="00000000" w:rsidR="00000000" w:rsidRPr="00000000">
        <w:rPr>
          <w:rtl w:val="0"/>
        </w:rPr>
      </w:r>
    </w:p>
    <w:p w:rsidR="00000000" w:rsidDel="00000000" w:rsidP="00000000" w:rsidRDefault="00000000" w:rsidRPr="00000000" w14:paraId="00000007">
      <w:pPr>
        <w:spacing w:after="120" w:before="0" w:line="276"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detailed Management and Determination of each individual dispute heard by a Timetabling Panel shall be subject to the direction of the Hearing Chair (as appointed by the Secretary as provided in Rules H11 and H12).   Rules H20 and H21 provide that,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bookmarkStart w:colFirst="0" w:colLast="0" w:name="_heading=h.30j0zll" w:id="0"/>
      <w:bookmarkEnd w:id="0"/>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“20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Upon appointment the Hearing Chair may give directions as to any or all aspects of the procedures to be followed.  The Hearing Chair shall have the power at any time to make or amend the procedure to be followed by the parties in the TTP.  The directions shall be in accordance with the Principles and this Chapter H and with any mandatory time requirements.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21    Unless the Hearing Chair directs otherwise (and subject to each party's right to apply for alternative or revised directions at all stages), the following timetable and procedure shall apply:</w:t>
      </w:r>
      <w:r w:rsidDel="00000000" w:rsidR="00000000" w:rsidRPr="00000000">
        <w:rPr>
          <w:rtl w:val="0"/>
        </w:rPr>
      </w:r>
    </w:p>
    <w:p w:rsidR="00000000" w:rsidDel="00000000" w:rsidP="00000000" w:rsidRDefault="00000000" w:rsidRPr="00000000" w14:paraId="0000000B">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120" w:before="0" w:line="276" w:lineRule="auto"/>
        <w:ind w:left="540" w:right="0" w:firstLine="0"/>
        <w:jc w:val="both"/>
        <w:rPr>
          <w:rFonts w:ascii="Arial Narrow" w:cs="Arial Narrow" w:eastAsia="Arial Narrow" w:hAnsi="Arial Narrow"/>
          <w:i w:val="0"/>
          <w:smallCaps w:val="0"/>
          <w:strike w:val="0"/>
          <w:color w:val="000000"/>
          <w:shd w:fill="auto" w:val="clear"/>
          <w:vertAlign w:val="baseline"/>
        </w:rPr>
      </w:pPr>
      <w:bookmarkStart w:colFirst="0" w:colLast="0" w:name="_heading=h.1fob9te" w:id="1"/>
      <w:bookmarkEnd w:id="1"/>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if the parties agree to submit a joint reference they shall, ……</w:t>
      </w:r>
      <w:r w:rsidDel="00000000" w:rsidR="00000000" w:rsidRPr="00000000">
        <w:rPr>
          <w:rtl w:val="0"/>
        </w:rPr>
      </w:r>
    </w:p>
    <w:p w:rsidR="00000000" w:rsidDel="00000000" w:rsidP="00000000" w:rsidRDefault="00000000" w:rsidRPr="00000000" w14:paraId="0000000C">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120" w:before="0" w:line="276" w:lineRule="auto"/>
        <w:ind w:left="540" w:right="0" w:firstLine="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if the parties do not agree to submit a joint reference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44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 each claimant shall within seven days of notification of the appointment of the Hearing Chair produce and serve upon all Involved Parties a sole reference which shall include [SEE FULL TEXT]….</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44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(ii). each defendant shall within seven days of service on it of such sole reference produce and serve upon all Involved Parties a response which shall include [SEE FULL TEXT]….”</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Given that many Timetabling disputes are subject to the time constraints of the Timetabling process, template formats are provided in order that the Parties shall be prompted to ensure that all material relevant to their respective arguments are available in a timely manner</w:t>
      </w:r>
    </w:p>
    <w:p w:rsidR="00000000" w:rsidDel="00000000" w:rsidP="00000000" w:rsidRDefault="00000000" w:rsidRPr="00000000" w14:paraId="0000001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Narrow" w:cs="Arial Narrow" w:eastAsia="Arial Narrow" w:hAnsi="Arial Narrow"/>
          <w:i w:val="1"/>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the other Dispute Party (Parties)</w:t>
      </w:r>
    </w:p>
    <w:p w:rsidR="00000000" w:rsidDel="00000000" w:rsidP="00000000" w:rsidRDefault="00000000" w:rsidRPr="00000000" w14:paraId="0000001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Narrow" w:cs="Arial Narrow" w:eastAsia="Arial Narrow" w:hAnsi="Arial Narrow"/>
          <w:i w:val="1"/>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the Timetabling Panel in good time for the hearing, and</w:t>
      </w:r>
    </w:p>
    <w:p w:rsidR="00000000" w:rsidDel="00000000" w:rsidP="00000000" w:rsidRDefault="00000000" w:rsidRPr="00000000" w14:paraId="0000001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Narrow" w:cs="Arial Narrow" w:eastAsia="Arial Narrow" w:hAnsi="Arial Narrow"/>
          <w:i w:val="1"/>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be published on the Access Disputes Committee’s website;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always bearing in mind that </w:t>
      </w:r>
    </w:p>
    <w:p w:rsidR="00000000" w:rsidDel="00000000" w:rsidP="00000000" w:rsidRDefault="00000000" w:rsidRPr="00000000" w14:paraId="00000014">
      <w:pPr>
        <w:spacing w:after="120"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b w:val="1"/>
          <w:i w:val="1"/>
          <w:vertAlign w:val="baseline"/>
          <w:rtl w:val="0"/>
        </w:rPr>
        <w:t xml:space="preserve">“an oral hearing lasting no more than one day shall be conducted”</w:t>
      </w:r>
      <w:r w:rsidDel="00000000" w:rsidR="00000000" w:rsidRPr="00000000">
        <w:rPr>
          <w:rFonts w:ascii="Arial Narrow" w:cs="Arial Narrow" w:eastAsia="Arial Narrow" w:hAnsi="Arial Narrow"/>
          <w:vertAlign w:val="baseline"/>
          <w:rtl w:val="0"/>
        </w:rPr>
        <w:t xml:space="preserve"> [Rule H21 (d)] , and that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“23.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length of every reference and response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b w:val="1"/>
          <w:i w:val="1"/>
          <w:rtl w:val="0"/>
        </w:rPr>
        <w:t xml:space="preserve">b</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 a sole reference or response shall be no longer than 10 pages”.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[Rule H23].</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DETAILS OF PARTIES</w:t>
      </w:r>
    </w:p>
    <w:p w:rsidR="00000000" w:rsidDel="00000000" w:rsidP="00000000" w:rsidRDefault="00000000" w:rsidRPr="00000000" w14:paraId="0000001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1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76" w:lineRule="auto"/>
        <w:ind w:left="1418" w:right="0" w:hanging="709"/>
        <w:jc w:val="left"/>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Company name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(Company number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xxxxxxx</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)whose Registered Office is at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address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[insert short form or abbreviation for Company name i.e. its initials]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("the Claimant"); and</w:t>
      </w:r>
    </w:p>
    <w:p w:rsidR="00000000" w:rsidDel="00000000" w:rsidP="00000000" w:rsidRDefault="00000000" w:rsidRPr="00000000" w14:paraId="0000001C">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76" w:lineRule="auto"/>
        <w:ind w:left="1418" w:right="0" w:hanging="709"/>
        <w:jc w:val="left"/>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rtl w:val="0"/>
        </w:rPr>
        <w:t xml:space="preserve">Keolis Amey Operations / Gweithrediadau Keolis Amey Limited</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(Company number </w:t>
      </w:r>
      <w:r w:rsidDel="00000000" w:rsidR="00000000" w:rsidRPr="00000000">
        <w:rPr>
          <w:rFonts w:ascii="Arial Narrow" w:cs="Arial Narrow" w:eastAsia="Arial Narrow" w:hAnsi="Arial Narrow"/>
          <w:rtl w:val="0"/>
        </w:rPr>
        <w:t xml:space="preserve">11389531</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whose Registered Office is at </w:t>
      </w:r>
      <w:r w:rsidDel="00000000" w:rsidR="00000000" w:rsidRPr="00000000">
        <w:rPr>
          <w:rFonts w:ascii="Arial Narrow" w:cs="Arial Narrow" w:eastAsia="Arial Narrow" w:hAnsi="Arial Narrow"/>
          <w:rtl w:val="0"/>
        </w:rPr>
        <w:t xml:space="preserve">2 Callaghan Square, Cardiff, United Kingdom, CF10 5BT</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rtl w:val="0"/>
        </w:rPr>
        <w:t xml:space="preserve">AKIL</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("the Defendant").</w:t>
      </w:r>
    </w:p>
    <w:p w:rsidR="00000000" w:rsidDel="00000000" w:rsidP="00000000" w:rsidRDefault="00000000" w:rsidRPr="00000000" w14:paraId="0000001D">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76"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Include correspondence address, contact details and e-mail address if different. </w:t>
      </w:r>
      <w:r w:rsidDel="00000000" w:rsidR="00000000" w:rsidRPr="00000000">
        <w:rPr>
          <w:rtl w:val="0"/>
        </w:rPr>
      </w:r>
    </w:p>
    <w:p w:rsidR="00000000" w:rsidDel="00000000" w:rsidP="00000000" w:rsidRDefault="00000000" w:rsidRPr="00000000" w14:paraId="0000001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the Claimant is aware that any third party may be affected by the Panel finding in any of the ways sought in this sole reference, it should ensure that this information is conveyed to the Secretary to the ADC at the earliest possible opportunity, and the names of the relevant parties recorded here.   The affected Parties should seek the guidance of the Hearing Chair as to any format to be used in respect of their representations.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THE CLAIMANT’S’ RIGHT TO BRING THIS REFERENCE</w:t>
      </w:r>
    </w:p>
    <w:p w:rsidR="00000000" w:rsidDel="00000000" w:rsidP="00000000" w:rsidRDefault="00000000" w:rsidRPr="00000000" w14:paraId="0000002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This matter is referred to a Timetabling Panel ("the TTP") for determination in accordance with Condition</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of the </w:t>
      </w:r>
      <w:r w:rsidDel="00000000" w:rsidR="00000000" w:rsidRPr="00000000">
        <w:rPr>
          <w:rFonts w:ascii="Arial Narrow" w:cs="Arial Narrow" w:eastAsia="Arial Narrow" w:hAnsi="Arial Narrow"/>
          <w:rtl w:val="0"/>
        </w:rPr>
        <w:t xml:space="preserve">CVL</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Network Code.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Claimant needs to make explicitly clear what provisions of its contract entitle, or direct, it to bring its dispute before a Timetabling Panel.   This means a summary, but with verbatim quotations, of those terms of the contracts that direct the parties how they should reach agreement, or, where this fails, what form of dispute resolution they should take.</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This Sole Reference includes:-</w:t>
      </w:r>
    </w:p>
    <w:p w:rsidR="00000000" w:rsidDel="00000000" w:rsidP="00000000" w:rsidRDefault="00000000" w:rsidRPr="00000000" w14:paraId="0000002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76"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subject matter of the dispute in Section 4;</w:t>
      </w:r>
    </w:p>
    <w:p w:rsidR="00000000" w:rsidDel="00000000" w:rsidP="00000000" w:rsidRDefault="00000000" w:rsidRPr="00000000" w14:paraId="0000002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76"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 summary of the issues in dispute in Section 5;</w:t>
      </w:r>
    </w:p>
    <w:p w:rsidR="00000000" w:rsidDel="00000000" w:rsidP="00000000" w:rsidRDefault="00000000" w:rsidRPr="00000000" w14:paraId="0000002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76"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 detailed explanation of the issues in dispute prepared by the in Section 6;</w:t>
      </w:r>
    </w:p>
    <w:p w:rsidR="00000000" w:rsidDel="00000000" w:rsidP="00000000" w:rsidRDefault="00000000" w:rsidRPr="00000000" w14:paraId="00000027">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76"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In Section 8, the decisions of principle sought from the Panel in respect of </w:t>
      </w:r>
    </w:p>
    <w:p w:rsidR="00000000" w:rsidDel="00000000" w:rsidP="00000000" w:rsidRDefault="00000000" w:rsidRPr="00000000" w14:paraId="00000028">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120" w:before="0" w:line="276" w:lineRule="auto"/>
        <w:ind w:left="2160" w:right="0" w:hanging="72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legal entitlement and </w:t>
      </w:r>
    </w:p>
    <w:p w:rsidR="00000000" w:rsidDel="00000000" w:rsidP="00000000" w:rsidRDefault="00000000" w:rsidRPr="00000000" w14:paraId="00000029">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120" w:before="0" w:line="276" w:lineRule="auto"/>
        <w:ind w:left="2160" w:right="0" w:hanging="72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remedies;</w:t>
      </w:r>
    </w:p>
    <w:p w:rsidR="00000000" w:rsidDel="00000000" w:rsidP="00000000" w:rsidRDefault="00000000" w:rsidRPr="00000000" w14:paraId="0000002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76"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Appendices and other supporting material.</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SUBJECT MATTER OF DISPUTE</w:t>
      </w:r>
    </w:p>
    <w:p w:rsidR="00000000" w:rsidDel="00000000" w:rsidP="00000000" w:rsidRDefault="00000000" w:rsidRPr="00000000" w14:paraId="0000002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very brief details of the dispute.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For example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p>
    <w:p w:rsidR="00000000" w:rsidDel="00000000" w:rsidP="00000000" w:rsidRDefault="00000000" w:rsidRPr="00000000" w14:paraId="0000002E">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220" w:before="0" w:line="276" w:lineRule="auto"/>
        <w:ind w:left="540" w:right="0" w:firstLine="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“a dispute regarding the allocation of maintenance responsibilities”</w:t>
      </w:r>
      <w:r w:rsidDel="00000000" w:rsidR="00000000" w:rsidRPr="00000000">
        <w:rPr>
          <w:rtl w:val="0"/>
        </w:rPr>
      </w:r>
    </w:p>
    <w:p w:rsidR="00000000" w:rsidDel="00000000" w:rsidP="00000000" w:rsidRDefault="00000000" w:rsidRPr="00000000" w14:paraId="0000002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220" w:before="0" w:line="276" w:lineRule="auto"/>
        <w:ind w:left="540" w:right="0" w:firstLine="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“a dispute as to an offer of train slots”.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p>
    <w:p w:rsidR="00000000" w:rsidDel="00000000" w:rsidP="00000000" w:rsidRDefault="00000000" w:rsidRPr="00000000" w14:paraId="0000003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2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Then provide details of the Condition in the </w:t>
      </w:r>
      <w:r w:rsidDel="00000000" w:rsidR="00000000" w:rsidRPr="00000000">
        <w:rPr>
          <w:rFonts w:ascii="Arial Narrow" w:cs="Arial Narrow" w:eastAsia="Arial Narrow" w:hAnsi="Arial Narrow"/>
          <w:rtl w:val="0"/>
        </w:rPr>
        <w:t xml:space="preserve">CVL</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Network Code, or the relevant provisions of the Track Access Contract that the dispute relates to, or is associated with</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For example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dispute arises over the interpretation of Condition ● of the Network Code /section ●/Schedule ● of the Track Access Contract/  </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Ensure that a copy of the relevant extract(s) from the document(s) referred to above is/are attached at Annex ● or that the reference is accompanied by ● indexed lever arch file(s) containing documents referred to in this Reference.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NOTE: The parties can assume that Timetabling Panel members will have access to a </w:t>
      </w:r>
      <w:r w:rsidDel="00000000" w:rsidR="00000000" w:rsidRPr="00000000">
        <w:rPr>
          <w:rFonts w:ascii="Arial Narrow" w:cs="Arial Narrow" w:eastAsia="Arial Narrow" w:hAnsi="Arial Narrow"/>
          <w:i w:val="1"/>
          <w:smallCaps w:val="0"/>
          <w:strike w:val="0"/>
          <w:color w:val="000000"/>
          <w:shd w:fill="auto" w:val="clear"/>
          <w:vertAlign w:val="baseline"/>
          <w:rtl w:val="0"/>
        </w:rPr>
        <w:t xml:space="preserve">current</w:t>
      </w:r>
      <w:r w:rsidDel="00000000" w:rsidR="00000000" w:rsidRPr="00000000">
        <w:rPr>
          <w:rFonts w:ascii="Arial Narrow" w:cs="Arial Narrow" w:eastAsia="Arial Narrow" w:hAnsi="Arial Narrow"/>
          <w:b w:val="1"/>
          <w:i w:val="1"/>
          <w:smallCaps w:val="0"/>
          <w:strike w:val="0"/>
          <w:color w:val="000000"/>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edition of the </w:t>
      </w:r>
      <w:r w:rsidDel="00000000" w:rsidR="00000000" w:rsidRPr="00000000">
        <w:rPr>
          <w:rFonts w:ascii="Arial Narrow" w:cs="Arial Narrow" w:eastAsia="Arial Narrow" w:hAnsi="Arial Narrow"/>
          <w:i w:val="1"/>
          <w:rtl w:val="0"/>
        </w:rPr>
        <w:t xml:space="preserve">CVL</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Network Code.  However, </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if the dispute derives from actions taken (or not taken) before the date of introduction of the relevant pages of the current Network Code the parties should ensure that the Panel is supplied with the relevant pages of the applicable version</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the parties should </w:t>
      </w:r>
      <w:r w:rsidDel="00000000" w:rsidR="00000000" w:rsidRPr="00000000">
        <w:rPr>
          <w:rFonts w:ascii="Arial Narrow" w:cs="Arial Narrow" w:eastAsia="Arial Narrow" w:hAnsi="Arial Narrow"/>
          <w:i w:val="1"/>
          <w:smallCaps w:val="0"/>
          <w:strike w:val="0"/>
          <w:color w:val="000000"/>
          <w:shd w:fill="auto" w:val="clear"/>
          <w:vertAlign w:val="baseline"/>
          <w:rtl w:val="0"/>
        </w:rPr>
        <w:t xml:space="preserve">not</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assume that Panel Members have personal copies or knowledge of the relevant parts (in particular any Schedules) of the specific access agreements.</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details of any other documents that are relevant to the dispute.  The relevant parts must also be copied and annexed to this submission</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SUMMARY OF DISPUTE</w:t>
      </w:r>
    </w:p>
    <w:p w:rsidR="00000000" w:rsidDel="00000000" w:rsidP="00000000" w:rsidRDefault="00000000" w:rsidRPr="00000000" w14:paraId="0000003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brief details of such relevant background information as is necessary to ensure a common level of understanding of all members of the Panel, including details of the contractual framework surrounding the obligations of the parties in relation to the dispute.</w:t>
      </w:r>
      <w:r w:rsidDel="00000000" w:rsidR="00000000" w:rsidRPr="00000000">
        <w:rPr>
          <w:rtl w:val="0"/>
        </w:rPr>
      </w:r>
    </w:p>
    <w:p w:rsidR="00000000" w:rsidDel="00000000" w:rsidP="00000000" w:rsidRDefault="00000000" w:rsidRPr="00000000" w14:paraId="0000003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If there is, in the contract, a process, with defined stages, that must be completed before the parties can agree they are in dispute (e.g. consultation, responses within a set timescale, decision with reasons),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EXPLANATION OF EACH ISSUE IN DISPUTE AND THE CLAIMANT’S ARGUMENTS TO SUPPORT ITS CASE</w:t>
      </w:r>
    </w:p>
    <w:p w:rsidR="00000000" w:rsidDel="00000000" w:rsidP="00000000" w:rsidRDefault="00000000" w:rsidRPr="00000000" w14:paraId="0000003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Issue 1</w:t>
      </w:r>
    </w:p>
    <w:p w:rsidR="00000000" w:rsidDel="00000000" w:rsidP="00000000" w:rsidRDefault="00000000" w:rsidRPr="00000000" w14:paraId="0000003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Issue 2</w:t>
      </w:r>
    </w:p>
    <w:p w:rsidR="00000000" w:rsidDel="00000000" w:rsidP="00000000" w:rsidRDefault="00000000" w:rsidRPr="00000000" w14:paraId="0000003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etc.etc.</w:t>
      </w:r>
    </w:p>
    <w:p w:rsidR="00000000" w:rsidDel="00000000" w:rsidP="00000000" w:rsidRDefault="00000000" w:rsidRPr="00000000" w14:paraId="00000040">
      <w:pPr>
        <w:spacing w:after="120" w:line="276"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Dispute Parties should keep in mind that the Panel needs to be given</w:t>
      </w:r>
      <w:r w:rsidDel="00000000" w:rsidR="00000000" w:rsidRPr="00000000">
        <w:rPr>
          <w:rtl w:val="0"/>
        </w:rPr>
      </w:r>
    </w:p>
    <w:p w:rsidR="00000000" w:rsidDel="00000000" w:rsidP="00000000" w:rsidRDefault="00000000" w:rsidRPr="00000000" w14:paraId="00000041">
      <w:pPr>
        <w:numPr>
          <w:ilvl w:val="0"/>
          <w:numId w:val="4"/>
        </w:numPr>
        <w:spacing w:after="120" w:line="276"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sequence of factors that support the Claimant’s position..   Where the argument requires reference to any contractual provision, the precise extract should be quoted verbatim;</w:t>
      </w:r>
      <w:r w:rsidDel="00000000" w:rsidR="00000000" w:rsidRPr="00000000">
        <w:rPr>
          <w:rtl w:val="0"/>
        </w:rPr>
      </w:r>
    </w:p>
    <w:p w:rsidR="00000000" w:rsidDel="00000000" w:rsidP="00000000" w:rsidRDefault="00000000" w:rsidRPr="00000000" w14:paraId="00000042">
      <w:pPr>
        <w:numPr>
          <w:ilvl w:val="0"/>
          <w:numId w:val="1"/>
        </w:numPr>
        <w:spacing w:after="120" w:line="276"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Claimant is in dispute, such that the extent of the differences between the parties can be clearly appreciated;</w:t>
      </w:r>
      <w:r w:rsidDel="00000000" w:rsidR="00000000" w:rsidRPr="00000000">
        <w:rPr>
          <w:rtl w:val="0"/>
        </w:rPr>
      </w:r>
    </w:p>
    <w:p w:rsidR="00000000" w:rsidDel="00000000" w:rsidP="00000000" w:rsidRDefault="00000000" w:rsidRPr="00000000" w14:paraId="00000043">
      <w:pPr>
        <w:numPr>
          <w:ilvl w:val="0"/>
          <w:numId w:val="1"/>
        </w:numPr>
        <w:spacing w:after="120" w:line="276"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clarification in respect of each point of difference whether the issue is primarily one of principle, or of quantification in respect of a specific instance or instances;</w:t>
      </w:r>
      <w:r w:rsidDel="00000000" w:rsidR="00000000" w:rsidRPr="00000000">
        <w:rPr>
          <w:rtl w:val="0"/>
        </w:rPr>
      </w:r>
    </w:p>
    <w:p w:rsidR="00000000" w:rsidDel="00000000" w:rsidP="00000000" w:rsidRDefault="00000000" w:rsidRPr="00000000" w14:paraId="00000044">
      <w:pPr>
        <w:numPr>
          <w:ilvl w:val="0"/>
          <w:numId w:val="1"/>
        </w:numPr>
        <w:spacing w:after="120" w:line="276"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practical implications of the dispute(e.g. numbers of trains potentially affected, ditto passengers or freight customers, order of magnitude of any financial impact);   even in cases of “principle”, the Panel is reasonably entitled to know how much business is affected by any possible outcome of the dispute, as a factor potentially influencing its determination.</w:t>
      </w:r>
      <w:r w:rsidDel="00000000" w:rsidR="00000000" w:rsidRPr="00000000">
        <w:rPr>
          <w:rtl w:val="0"/>
        </w:rPr>
      </w:r>
    </w:p>
    <w:p w:rsidR="00000000" w:rsidDel="00000000" w:rsidP="00000000" w:rsidRDefault="00000000" w:rsidRPr="00000000" w14:paraId="00000045">
      <w:pPr>
        <w:numPr>
          <w:ilvl w:val="0"/>
          <w:numId w:val="1"/>
        </w:numPr>
        <w:spacing w:after="120" w:line="276"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guidance as to any aspects of the dispute that could be contentious, but which the parties do not wish the Panel to address.  This could include instances where, for example, the parties have agreed to test a matter of principle, after which they will themselves negotiate a settlement of quantum.</w:t>
      </w:r>
      <w:r w:rsidDel="00000000" w:rsidR="00000000" w:rsidRPr="00000000">
        <w:rPr>
          <w:rtl w:val="0"/>
        </w:rPr>
      </w:r>
    </w:p>
    <w:p w:rsidR="00000000" w:rsidDel="00000000" w:rsidP="00000000" w:rsidRDefault="00000000" w:rsidRPr="00000000" w14:paraId="00000046">
      <w:pPr>
        <w:spacing w:after="120" w:line="276"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DECISION SOUGHT FROM THE PANEL</w:t>
      </w:r>
    </w:p>
    <w:p w:rsidR="00000000" w:rsidDel="00000000" w:rsidP="00000000" w:rsidRDefault="00000000" w:rsidRPr="00000000" w14:paraId="0000004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276"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Claimant should set out the outcome it is seeking from the Panel’s determination, differentiating between </w:t>
      </w:r>
      <w:r w:rsidDel="00000000" w:rsidR="00000000" w:rsidRPr="00000000">
        <w:rPr>
          <w:rtl w:val="0"/>
        </w:rPr>
      </w:r>
    </w:p>
    <w:p w:rsidR="00000000" w:rsidDel="00000000" w:rsidP="00000000" w:rsidRDefault="00000000" w:rsidRPr="00000000" w14:paraId="0000004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276" w:lineRule="auto"/>
        <w:ind w:left="1644" w:right="0" w:hanging="68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4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276" w:lineRule="auto"/>
        <w:ind w:left="1644" w:right="0" w:hanging="68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specific conclusions deriving from those matters of principle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Narrow" w:cs="Arial Narrow" w:eastAsia="Arial Narrow" w:hAnsi="Arial Narrow"/>
          <w:i w:val="1"/>
          <w:smallCaps w:val="0"/>
          <w:strike w:val="0"/>
          <w:color w:val="000000"/>
          <w:u w:val="none"/>
          <w:shd w:fill="auto" w:val="clear"/>
          <w:vertAlign w:val="baseline"/>
        </w:rPr>
      </w:pPr>
      <w:bookmarkStart w:colFirst="0" w:colLast="0" w:name="_heading=h.3znysh7" w:id="2"/>
      <w:bookmarkEnd w:id="2"/>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 all their arguments and representations, the Parties should remember that the Panel is constrained by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Rule A5</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which states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Claimant will have a clear reason why it has not already settled the dispute, and the result that it wishes the Panel to deliver.   There is need therefore for it to set down clearly what it wants the Panel to find in its favour.</w:t>
      </w:r>
    </w:p>
    <w:p w:rsidR="00000000" w:rsidDel="00000000" w:rsidP="00000000" w:rsidRDefault="00000000" w:rsidRPr="00000000" w14:paraId="0000004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360" w:right="0" w:hanging="360"/>
        <w:jc w:val="both"/>
        <w:rPr>
          <w:rFonts w:ascii="Arial Narrow" w:cs="Arial Narrow" w:eastAsia="Arial Narrow" w:hAnsi="Arial Narrow"/>
          <w:i w:val="1"/>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Logically, when preparing the submission, the decision sought from the Panel should be the first thing finalised, and arguments marshalled to support the case for that outcome.   That said, the Claimant should be clear that the decision sought is one that a Panel can give.   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Panel’s jurisdiction.   </w:t>
      </w:r>
    </w:p>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36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By contrast, a Panel will not support any contention that asks it, for example, to give a ruling that a contract is unfair and/or needs to be changed, because any such determination would not derive from the </w:t>
      </w:r>
      <w:r w:rsidDel="00000000" w:rsidR="00000000" w:rsidRPr="00000000">
        <w:rPr>
          <w:rFonts w:ascii="Arial Narrow" w:cs="Arial Narrow" w:eastAsia="Arial Narrow" w:hAnsi="Arial Narrow"/>
          <w:i w:val="1"/>
          <w:rtl w:val="0"/>
        </w:rPr>
        <w:t xml:space="preserve">CVL</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Access Dispute Resolution Rules, or an effective individual Access contract, and would therefore be beyond the Panel’s powers.</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276"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List any specific remedies.  For example “as a result of the decided principle(s) above, the Defendant is to pay £X to the Claimant”</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54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Remedy is what the aggrieved Dispute Party contends it should be granted, if the Panel finds in its favour.   This should be considered carefully because access agreements are frequently prescriptive about such matters, and there are no benefits to be won from advancing arguments for remedies that lie outside the Panel’s powers which are governed by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Rule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A6</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which states. .   </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54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a Claimant wishes to argue for an exercise of “discretion” as in (c) above, it must consider whether the Panel has such discretion given the provisions of (a) and (b).</w:t>
      </w:r>
      <w:r w:rsidDel="00000000" w:rsidR="00000000" w:rsidRPr="00000000">
        <w:rPr>
          <w:rtl w:val="0"/>
        </w:rPr>
      </w:r>
    </w:p>
    <w:p w:rsidR="00000000" w:rsidDel="00000000" w:rsidP="00000000" w:rsidRDefault="00000000" w:rsidRPr="00000000" w14:paraId="0000005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276"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Clarify whether you wish the Panel to decide other issues – such as costs.</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Claimant confirms that it has complied with </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Rule H21</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of the Access Dispute Resolution Rules, which requires that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Copies of the following documents shall also be annexed and cross referenced to the reference:</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153"/>
          <w:tab w:val="right" w:pos="8306"/>
        </w:tabs>
        <w:spacing w:after="120" w:before="0" w:line="276" w:lineRule="auto"/>
        <w:ind w:left="1200" w:right="0" w:hanging="480"/>
        <w:jc w:val="left"/>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relevant extracts of contractual Documents containing the provision(s) under which the referral to the Timetabling Panel arises and/or provisions associated provision(s) associated with the substance of the dispute; and</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153"/>
          <w:tab w:val="right" w:pos="8306"/>
        </w:tabs>
        <w:spacing w:after="120" w:before="0" w:line="276" w:lineRule="auto"/>
        <w:ind w:left="1200" w:right="0" w:hanging="480"/>
        <w:jc w:val="left"/>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relevant extracts of]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any other Documents referred to in the reference”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Extracts are included where the dispute relates to previous (i.e. no longer current) versions of these documents.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All appendices, and annexes are bound into the submission, and consecutively page numbered.  To assist the Panel, in each Appendix or Annexe</w:t>
      </w:r>
    </w:p>
    <w:p w:rsidR="00000000" w:rsidDel="00000000" w:rsidP="00000000" w:rsidRDefault="00000000" w:rsidRPr="00000000" w14:paraId="0000006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76" w:lineRule="auto"/>
        <w:ind w:left="114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heading states which Dispute Party has requested that the particular appendix be placed before the Panel;   and</w:t>
      </w:r>
    </w:p>
    <w:p w:rsidR="00000000" w:rsidDel="00000000" w:rsidP="00000000" w:rsidRDefault="00000000" w:rsidRPr="00000000" w14:paraId="0000006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76" w:lineRule="auto"/>
        <w:ind w:left="114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Quotations, or references, that are cited in the formal submission are highlighted (or side-lined) so that the context of the quotation or reference is apparent.</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Any information only made available after the main submission has been submitted to Panel Members, will be consecutively numbered, so as to follow on at the conclusion of the previous submission.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SIGNATURE</w:t>
      </w:r>
    </w:p>
    <w:tbl>
      <w:tblPr>
        <w:tblStyle w:val="Table1"/>
        <w:tblW w:w="4145.0" w:type="dxa"/>
        <w:jc w:val="left"/>
        <w:tblInd w:w="0.0" w:type="dxa"/>
        <w:tblLayout w:type="fixed"/>
        <w:tblLook w:val="0000"/>
      </w:tblPr>
      <w:tblGrid>
        <w:gridCol w:w="4145"/>
        <w:tblGridChange w:id="0">
          <w:tblGrid>
            <w:gridCol w:w="4145"/>
          </w:tblGrid>
        </w:tblGridChange>
      </w:tblGrid>
      <w:tr>
        <w:tc>
          <w:tcPr>
            <w:vAlign w:val="top"/>
          </w:tcPr>
          <w:p w:rsidR="00000000" w:rsidDel="00000000" w:rsidP="00000000" w:rsidRDefault="00000000" w:rsidRPr="00000000" w14:paraId="00000066">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Claimant</w:t>
            </w:r>
          </w:p>
          <w:p w:rsidR="00000000" w:rsidDel="00000000" w:rsidP="00000000" w:rsidRDefault="00000000" w:rsidRPr="00000000" w14:paraId="00000067">
            <w:pPr>
              <w:spacing w:line="276" w:lineRule="auto"/>
              <w:rPr>
                <w:rFonts w:ascii="Arial Narrow" w:cs="Arial Narrow" w:eastAsia="Arial Narrow" w:hAnsi="Arial Narrow"/>
                <w:vertAlign w:val="baseline"/>
              </w:rPr>
            </w:pPr>
            <w:r w:rsidDel="00000000" w:rsidR="00000000" w:rsidRPr="00000000">
              <w:rPr>
                <w:rtl w:val="0"/>
              </w:rPr>
            </w:r>
          </w:p>
        </w:tc>
      </w:tr>
      <w:tr>
        <w:tc>
          <w:tcPr>
            <w:vAlign w:val="top"/>
          </w:tcPr>
          <w:p w:rsidR="00000000" w:rsidDel="00000000" w:rsidP="00000000" w:rsidRDefault="00000000" w:rsidRPr="00000000" w14:paraId="00000068">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w:t>
            </w:r>
          </w:p>
          <w:p w:rsidR="00000000" w:rsidDel="00000000" w:rsidP="00000000" w:rsidRDefault="00000000" w:rsidRPr="00000000" w14:paraId="00000069">
            <w:pPr>
              <w:spacing w:line="276"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company name</w:t>
            </w:r>
            <w:r w:rsidDel="00000000" w:rsidR="00000000" w:rsidRPr="00000000">
              <w:rPr>
                <w:rtl w:val="0"/>
              </w:rPr>
            </w:r>
          </w:p>
          <w:p w:rsidR="00000000" w:rsidDel="00000000" w:rsidP="00000000" w:rsidRDefault="00000000" w:rsidRPr="00000000" w14:paraId="0000006A">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B">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6C">
            <w:pPr>
              <w:spacing w:line="276"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D">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76"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Print Name</w:t>
            </w:r>
          </w:p>
          <w:p w:rsidR="00000000" w:rsidDel="00000000" w:rsidP="00000000" w:rsidRDefault="00000000" w:rsidRPr="00000000" w14:paraId="0000006F">
            <w:pPr>
              <w:spacing w:line="276"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0">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71">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72">
            <w:pPr>
              <w:spacing w:line="276"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3">
            <w:pPr>
              <w:spacing w:line="276"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74">
      <w:pPr>
        <w:tabs>
          <w:tab w:val="left" w:pos="4500"/>
        </w:tabs>
        <w:spacing w:after="120" w:line="276"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5">
      <w:pPr>
        <w:spacing w:after="120" w:line="276"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is a control mechanism; it provides the Panel with the </w:t>
      </w:r>
      <w:r w:rsidDel="00000000" w:rsidR="00000000" w:rsidRPr="00000000">
        <w:rPr>
          <w:rFonts w:ascii="Arial Narrow" w:cs="Arial Narrow" w:eastAsia="Arial Narrow" w:hAnsi="Arial Narrow"/>
          <w:i w:val="1"/>
          <w:rtl w:val="0"/>
        </w:rPr>
        <w:t xml:space="preserve">reassurance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that the dispute has been referred with the knowledge and understanding of the disputing corporate bodies.   This is important, as engaging in formal dispute resolution implies a commitment to accepting the outcome of that process.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54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 this context, the Claimant is reminded that in sending representatives to argue its case before the Panel,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“it shall … ensure that … 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[Rule A19]</w:t>
      </w:r>
    </w:p>
    <w:sectPr>
      <w:footerReference r:id="rId7" w:type="default"/>
      <w:pgSz w:h="16838" w:w="11906"/>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7"/>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3">
    <w:lvl w:ilvl="0">
      <w:start w:val="6"/>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54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lowerLetter"/>
      <w:lvlText w:val="(%1)"/>
      <w:lvlJc w:val="left"/>
      <w:pPr>
        <w:ind w:left="120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1140" w:hanging="360"/>
      </w:pPr>
      <w:rPr>
        <w:rFonts w:ascii="Noto Sans Symbols" w:cs="Noto Sans Symbols" w:eastAsia="Noto Sans Symbols" w:hAnsi="Noto Sans Symbols"/>
        <w:vertAlign w:val="baseline"/>
      </w:rPr>
    </w:lvl>
    <w:lvl w:ilvl="1">
      <w:start w:val="1"/>
      <w:numFmt w:val="bullet"/>
      <w:lvlText w:val="o"/>
      <w:lvlJc w:val="left"/>
      <w:pPr>
        <w:ind w:left="1860" w:hanging="360"/>
      </w:pPr>
      <w:rPr>
        <w:rFonts w:ascii="Courier New" w:cs="Courier New" w:eastAsia="Courier New" w:hAnsi="Courier New"/>
        <w:vertAlign w:val="baseline"/>
      </w:rPr>
    </w:lvl>
    <w:lvl w:ilvl="2">
      <w:start w:val="1"/>
      <w:numFmt w:val="bullet"/>
      <w:lvlText w:val="▪"/>
      <w:lvlJc w:val="left"/>
      <w:pPr>
        <w:ind w:left="2580" w:hanging="360"/>
      </w:pPr>
      <w:rPr>
        <w:rFonts w:ascii="Noto Sans Symbols" w:cs="Noto Sans Symbols" w:eastAsia="Noto Sans Symbols" w:hAnsi="Noto Sans Symbols"/>
        <w:vertAlign w:val="baseline"/>
      </w:rPr>
    </w:lvl>
    <w:lvl w:ilvl="3">
      <w:start w:val="1"/>
      <w:numFmt w:val="bullet"/>
      <w:lvlText w:val="●"/>
      <w:lvlJc w:val="left"/>
      <w:pPr>
        <w:ind w:left="3300" w:hanging="360"/>
      </w:pPr>
      <w:rPr>
        <w:rFonts w:ascii="Noto Sans Symbols" w:cs="Noto Sans Symbols" w:eastAsia="Noto Sans Symbols" w:hAnsi="Noto Sans Symbols"/>
        <w:vertAlign w:val="baseline"/>
      </w:rPr>
    </w:lvl>
    <w:lvl w:ilvl="4">
      <w:start w:val="1"/>
      <w:numFmt w:val="bullet"/>
      <w:lvlText w:val="o"/>
      <w:lvlJc w:val="left"/>
      <w:pPr>
        <w:ind w:left="4020" w:hanging="360"/>
      </w:pPr>
      <w:rPr>
        <w:rFonts w:ascii="Courier New" w:cs="Courier New" w:eastAsia="Courier New" w:hAnsi="Courier New"/>
        <w:vertAlign w:val="baseline"/>
      </w:rPr>
    </w:lvl>
    <w:lvl w:ilvl="5">
      <w:start w:val="1"/>
      <w:numFmt w:val="bullet"/>
      <w:lvlText w:val="▪"/>
      <w:lvlJc w:val="left"/>
      <w:pPr>
        <w:ind w:left="4740" w:hanging="360"/>
      </w:pPr>
      <w:rPr>
        <w:rFonts w:ascii="Noto Sans Symbols" w:cs="Noto Sans Symbols" w:eastAsia="Noto Sans Symbols" w:hAnsi="Noto Sans Symbols"/>
        <w:vertAlign w:val="baseline"/>
      </w:rPr>
    </w:lvl>
    <w:lvl w:ilvl="6">
      <w:start w:val="1"/>
      <w:numFmt w:val="bullet"/>
      <w:lvlText w:val="●"/>
      <w:lvlJc w:val="left"/>
      <w:pPr>
        <w:ind w:left="5460" w:hanging="360"/>
      </w:pPr>
      <w:rPr>
        <w:rFonts w:ascii="Noto Sans Symbols" w:cs="Noto Sans Symbols" w:eastAsia="Noto Sans Symbols" w:hAnsi="Noto Sans Symbols"/>
        <w:vertAlign w:val="baseline"/>
      </w:rPr>
    </w:lvl>
    <w:lvl w:ilvl="7">
      <w:start w:val="1"/>
      <w:numFmt w:val="bullet"/>
      <w:lvlText w:val="o"/>
      <w:lvlJc w:val="left"/>
      <w:pPr>
        <w:ind w:left="6180" w:hanging="360"/>
      </w:pPr>
      <w:rPr>
        <w:rFonts w:ascii="Courier New" w:cs="Courier New" w:eastAsia="Courier New" w:hAnsi="Courier New"/>
        <w:vertAlign w:val="baseline"/>
      </w:rPr>
    </w:lvl>
    <w:lvl w:ilvl="8">
      <w:start w:val="1"/>
      <w:numFmt w:val="bullet"/>
      <w:lvlText w:val="▪"/>
      <w:lvlJc w:val="left"/>
      <w:pPr>
        <w:ind w:left="690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54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1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B9eNYv1fZ8lUCOvc9+v+e3C9jA==">AMUW2mWA7PpU5nh/icgKsMKapCqX4DbaecJJ3oPzU3UPxiraTZxb3g2Pxtqam9x7874oOAQWDUyAtOGCYWCL5OIIr0oINdyrmWOHcyk56vn4RPe0Tv7F1ElMMyVYj9D1tIRGE4ENhtwHnvJp/9I6KEn75KSnVElOWg==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2010-12-16T14:10:00Z</dcterms:created>
  <dc:creator>Shrubsole</dc:creator>
</cp:coreProperties>
</file>