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CVL ACCESS DISPUTE RESOLUTION RULES</w:t>
      </w:r>
      <w:r w:rsidDel="00000000" w:rsidR="00000000" w:rsidRPr="00000000">
        <w:rPr>
          <w:rtl w:val="0"/>
        </w:rPr>
      </w:r>
    </w:p>
    <w:p w:rsidR="00000000" w:rsidDel="00000000" w:rsidP="00000000" w:rsidRDefault="00000000" w:rsidRPr="00000000" w14:paraId="00000002">
      <w:pPr>
        <w:spacing w:line="276" w:lineRule="auto"/>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3">
      <w:pPr>
        <w:spacing w:after="120" w:line="360" w:lineRule="auto"/>
        <w:jc w:val="center"/>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Template Format (with advisory annotations) for a Defendant’s Response to a Sole Reference to a Timetabling Panel in accordance with the provisions of Chapter H of the </w:t>
      </w:r>
      <w:r w:rsidDel="00000000" w:rsidR="00000000" w:rsidRPr="00000000">
        <w:rPr>
          <w:rFonts w:ascii="Arial Narrow" w:cs="Arial Narrow" w:eastAsia="Arial Narrow" w:hAnsi="Arial Narrow"/>
          <w:b w:val="1"/>
          <w:sz w:val="28"/>
          <w:szCs w:val="28"/>
          <w:rtl w:val="0"/>
        </w:rPr>
        <w:t xml:space="preserve">CVL</w:t>
      </w:r>
      <w:r w:rsidDel="00000000" w:rsidR="00000000" w:rsidRPr="00000000">
        <w:rPr>
          <w:rFonts w:ascii="Arial Narrow" w:cs="Arial Narrow" w:eastAsia="Arial Narrow" w:hAnsi="Arial Narrow"/>
          <w:b w:val="1"/>
          <w:sz w:val="28"/>
          <w:szCs w:val="28"/>
          <w:vertAlign w:val="baseline"/>
          <w:rtl w:val="0"/>
        </w:rPr>
        <w:t xml:space="preserve"> ADR Rules</w:t>
      </w:r>
      <w:r w:rsidDel="00000000" w:rsidR="00000000" w:rsidRPr="00000000">
        <w:rPr>
          <w:rtl w:val="0"/>
        </w:rPr>
      </w:r>
    </w:p>
    <w:p w:rsidR="00000000" w:rsidDel="00000000" w:rsidP="00000000" w:rsidRDefault="00000000" w:rsidRPr="00000000" w14:paraId="00000004">
      <w:pPr>
        <w:spacing w:after="12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This template, as required by Rule H21 (b) is to be used by the Defendant Dispute Party to prepare a response submission for a Timetabling Panel hearing.   Within the Template, text in Italics is advisory, and should, once taken into account, be deleted from the final document. </w:t>
      </w:r>
      <w:r w:rsidDel="00000000" w:rsidR="00000000" w:rsidRPr="00000000">
        <w:rPr>
          <w:rtl w:val="0"/>
        </w:rPr>
      </w:r>
    </w:p>
    <w:p w:rsidR="00000000" w:rsidDel="00000000" w:rsidP="00000000" w:rsidRDefault="00000000" w:rsidRPr="00000000" w14:paraId="00000006">
      <w:pPr>
        <w:spacing w:after="120" w:before="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detailed Management and Determination of each individual dispute heard by a Timetabling Panel shall be subject to the direction of the Hearing Chair (as appointed by the Secretary as provided in Rules H11 and H12).   Rules H20 and H21 provide that,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bookmarkStart w:colFirst="0" w:colLast="0" w:name="_heading=h.30j0zll" w:id="0"/>
      <w:bookmarkEnd w:id="0"/>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“20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21    Unless the Hearing Chair directs otherwise (and subject to each party's right to apply for alternative or revised directions at all stages), the following timetable and procedure shall apply:</w:t>
      </w:r>
      <w:r w:rsidDel="00000000" w:rsidR="00000000" w:rsidRPr="00000000">
        <w:rPr>
          <w:rtl w:val="0"/>
        </w:rPr>
      </w:r>
    </w:p>
    <w:p w:rsidR="00000000" w:rsidDel="00000000" w:rsidP="00000000" w:rsidRDefault="00000000" w:rsidRPr="00000000" w14:paraId="0000000A">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i w:val="0"/>
          <w:smallCaps w:val="0"/>
          <w:strike w:val="0"/>
          <w:color w:val="000000"/>
          <w:shd w:fill="auto" w:val="clear"/>
          <w:vertAlign w:val="baseline"/>
        </w:rPr>
      </w:pPr>
      <w:bookmarkStart w:colFirst="0" w:colLast="0" w:name="_heading=h.1fob9te" w:id="1"/>
      <w:bookmarkEnd w:id="1"/>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if the parties agree to submit a joint reference they shall,……..”</w:t>
      </w:r>
      <w:r w:rsidDel="00000000" w:rsidR="00000000" w:rsidRPr="00000000">
        <w:rPr>
          <w:rtl w:val="0"/>
        </w:rPr>
      </w:r>
    </w:p>
    <w:p w:rsidR="00000000" w:rsidDel="00000000" w:rsidP="00000000" w:rsidRDefault="00000000" w:rsidRPr="00000000" w14:paraId="0000000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if the parties do not agree to submit a joint reference in accordance with (a) above:….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 each claimant shall ………. produce and serve upon all Involved Parties a sole reference which [SEE FULL TEXT]….</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(ii). each defendant shall within seven days of service on it of such sole reference produce and serve upon all Involved Parties a response which [SEE FULL TEXT]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Given that many Timetabling disputes are subject to the time constraints of the Timetabling process, template formats are provided in order that the Parties shall be prompted to ensure that all material relevant to their respective arguments are available in a timely manner</w:t>
      </w:r>
    </w:p>
    <w:p w:rsidR="00000000" w:rsidDel="00000000" w:rsidP="00000000" w:rsidRDefault="00000000" w:rsidRPr="00000000" w14:paraId="000000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the other Dispute Party (Parties)</w:t>
      </w:r>
    </w:p>
    <w:p w:rsidR="00000000" w:rsidDel="00000000" w:rsidP="00000000" w:rsidRDefault="00000000" w:rsidRPr="00000000" w14:paraId="000000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the Timetabling Panel in good time for the Hearing, and</w:t>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be published on the Access Disputes Committee’s website;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always bearing in mind that </w:t>
      </w:r>
    </w:p>
    <w:p w:rsidR="00000000" w:rsidDel="00000000" w:rsidP="00000000" w:rsidRDefault="00000000" w:rsidRPr="00000000" w14:paraId="00000013">
      <w:pPr>
        <w:spacing w:after="120" w:line="36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vertAlign w:val="baseline"/>
          <w:rtl w:val="0"/>
        </w:rPr>
        <w:t xml:space="preserve">“(d)     an oral hearing lasting no more than one day shall be conducted”</w:t>
      </w:r>
      <w:r w:rsidDel="00000000" w:rsidR="00000000" w:rsidRPr="00000000">
        <w:rPr>
          <w:rFonts w:ascii="Arial Narrow" w:cs="Arial Narrow" w:eastAsia="Arial Narrow" w:hAnsi="Arial Narrow"/>
          <w:vertAlign w:val="baseline"/>
          <w:rtl w:val="0"/>
        </w:rPr>
        <w:t xml:space="preserve"> [Rule H21 (d)] , and that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“23.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(d)  a sole reference or response shall be no longer than 10 pages”.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[Rule H23].</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DETAILS OF PARTIES</w:t>
      </w:r>
    </w:p>
    <w:p w:rsidR="00000000" w:rsidDel="00000000" w:rsidP="00000000" w:rsidRDefault="00000000" w:rsidRPr="00000000" w14:paraId="0000001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w:t>
        <w:tab/>
        <w:t xml:space="preserve">[Full Company name]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[Full address]                             ("[insert short form or abbreviation for Company name i.e. its initials]") ("the Claimant"); and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418" w:right="0" w:hanging="698"/>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(b)</w:t>
        <w:tab/>
      </w:r>
      <w:r w:rsidDel="00000000" w:rsidR="00000000" w:rsidRPr="00000000">
        <w:rPr>
          <w:rFonts w:ascii="Arial Narrow" w:cs="Arial Narrow" w:eastAsia="Arial Narrow" w:hAnsi="Arial Narrow"/>
          <w:rtl w:val="0"/>
        </w:rPr>
        <w:t xml:space="preserve">Keolis Amey Operations / Gweithrediadau Keolis Amey Limited</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rtl w:val="0"/>
        </w:rPr>
        <w:t xml:space="preserve">11389531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rtl w:val="0"/>
        </w:rPr>
        <w:t xml:space="preserve">2 Callaghan Square, Cardiff, United Kingdom, CF10 5BT</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AKIL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Defendant").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440" w:right="0" w:hanging="72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w:t>
        <w:tab/>
        <w:t xml:space="preserve">Include correspondence address, contact details and e-mail address if different. </w:t>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Defendant is aware that any third party may be affected by the Panel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THE DEFENDANT’S RIGHT TO CONTEST THIS REFERENCE</w:t>
      </w:r>
    </w:p>
    <w:p w:rsidR="00000000" w:rsidDel="00000000" w:rsidP="00000000" w:rsidRDefault="00000000" w:rsidRPr="00000000" w14:paraId="0000001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matter is referred to a Timetabling Panel ("the Panel") for determination in accordance with Condition</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of the </w:t>
      </w: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Network Code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Defendant needs to make explicitly clear what provisions of its contract entitle, or direct, it to defend its disputed actions before a Timetabling Panel.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Defendant is disputing the Claimant’s right to bring the particular dispute this should be identified here.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Response to the Claimant’s Sole Reference includes:-</w:t>
      </w:r>
    </w:p>
    <w:p w:rsidR="00000000" w:rsidDel="00000000" w:rsidP="00000000" w:rsidRDefault="00000000" w:rsidRPr="00000000" w14:paraId="0000002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Confirmation, or qualification, that the subject matter of the dispute is as set out by the Claimant in its Sole Reference, in the form of a summary schedule cross referenced to the issues disputed by the Claimant in the Sole Reference, identifying which the Defendant agrees with and which it disagrees with.   </w:t>
      </w:r>
      <w:r w:rsidDel="00000000" w:rsidR="00000000" w:rsidRPr="00000000">
        <w:rPr>
          <w:rtl w:val="0"/>
        </w:rPr>
      </w:r>
    </w:p>
    <w:p w:rsidR="00000000" w:rsidDel="00000000" w:rsidP="00000000" w:rsidRDefault="00000000" w:rsidRPr="00000000" w14:paraId="0000002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 detailed explanation of the Defendant’s arguments in support of its position on those issues where it disagrees with the Claimant’s Reference, including references to Documents or contractual provisions not dealt with in the Sole Reference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2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Any further related issues not raised by the Claimant, but which the Defendant considers fall to be determined as part of the dispute; </w:t>
      </w:r>
      <w:r w:rsidDel="00000000" w:rsidR="00000000" w:rsidRPr="00000000">
        <w:rPr>
          <w:rtl w:val="0"/>
        </w:rPr>
      </w:r>
    </w:p>
    <w:p w:rsidR="00000000" w:rsidDel="00000000" w:rsidP="00000000" w:rsidRDefault="00000000" w:rsidRPr="00000000" w14:paraId="0000002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decisions of principle sought from the Panel in respect of </w:t>
      </w:r>
      <w:r w:rsidDel="00000000" w:rsidR="00000000" w:rsidRPr="00000000">
        <w:rPr>
          <w:rtl w:val="0"/>
        </w:rPr>
      </w:r>
    </w:p>
    <w:p w:rsidR="00000000" w:rsidDel="00000000" w:rsidP="00000000" w:rsidRDefault="00000000" w:rsidRPr="00000000" w14:paraId="0000002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legal entitlement and </w:t>
      </w:r>
      <w:r w:rsidDel="00000000" w:rsidR="00000000" w:rsidRPr="00000000">
        <w:rPr>
          <w:rtl w:val="0"/>
        </w:rPr>
      </w:r>
    </w:p>
    <w:p w:rsidR="00000000" w:rsidDel="00000000" w:rsidP="00000000" w:rsidRDefault="00000000" w:rsidRPr="00000000" w14:paraId="0000002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remedies;</w:t>
      </w:r>
      <w:r w:rsidDel="00000000" w:rsidR="00000000" w:rsidRPr="00000000">
        <w:rPr>
          <w:rtl w:val="0"/>
        </w:rPr>
      </w:r>
    </w:p>
    <w:p w:rsidR="00000000" w:rsidDel="00000000" w:rsidP="00000000" w:rsidRDefault="00000000" w:rsidRPr="00000000" w14:paraId="0000002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Appendices and other supporting material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SUBJECT MATTER OF DISPUTE</w:t>
      </w:r>
    </w:p>
    <w:p w:rsidR="00000000" w:rsidDel="00000000" w:rsidP="00000000" w:rsidRDefault="00000000" w:rsidRPr="00000000" w14:paraId="0000002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very brief details of the dispute, in particular clarifying any areas where the Defendant disagrees with the description of the subject matter of the dispute given by the Claimant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Details of the Condition in the Network Code, or the relevant provisions of the Track Access Contract that the dispute relates to, or is associated with, that have not been cited in the Sole Reference, but which the Defendant considers supports its case.</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Ensure that a copy of the relevant extract(s) from the document(s) referred to above is/are attached at Annex ● or that the reference is accompanied by ● indexed lever arch file(s) containing documents referred to in this Reference.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NOTE: The parties can assume that Timetabling Panel Members will have access to a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current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edition of the </w:t>
      </w:r>
      <w:r w:rsidDel="00000000" w:rsidR="00000000" w:rsidRPr="00000000">
        <w:rPr>
          <w:rFonts w:ascii="Arial Narrow" w:cs="Arial Narrow" w:eastAsia="Arial Narrow" w:hAnsi="Arial Narrow"/>
          <w:i w:val="1"/>
          <w:rtl w:val="0"/>
        </w:rPr>
        <w:t xml:space="preserve">CVL</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Network Code.  However,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 dispute derives from actions taken (or not taken) before the date of introduction of the relevant pages of the current Network Code the parties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the parties should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not</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assume that Panel Members have personal copies or knowledge of the relevant parts (in particular any Schedules) of the specific access agreements.  </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details of any other documents that the Defendant considers are relevant to the dispute.  The relevant parts must also be copied and annexed to this Reference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SUMMARY OF DISPUTE</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brief details of such relevant background information, not already given by the Claimant, as is necessary to ensure a common level of understanding of all members of the Panel, including details of the contractual framework surrounding the obligations of the parties in relation to the dispute.   This is also the opportunity to make any case that the Claimant has sought to introduce as relevant, material which the Defendant considers does not relate to the circumstance in dispute.</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EXPLANATION FROM THE DEFENDANT’S PERSPECTIVE OF EACH ISSUE IN DISPUTE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97"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section has to achieve four objectives, namely</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identify any issues raised by the Claimant where the defendant agrees, broadly or wholly, with the Claimant;</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identify those issues where the Defendant disagrees with the Claimant’s position together with the reasons for that disagreement;</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introduce any issues that have not been raised by the Claimant but which the Defendant considers are of material relevance to the overall reference, together with the reasons for that view;   and</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draw all the foregoing together into a demonstration that the Defendant’s case is the stronger, or should otherwise be preferred to that of the Claimant.</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Issues where the Defendant Accepts the Claimant’s Case</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Issues where the Defendant qualifies or refutes the Claimant’s Case</w:t>
      </w:r>
      <w:r w:rsidDel="00000000" w:rsidR="00000000" w:rsidRPr="00000000">
        <w:rPr>
          <w:rtl w:val="0"/>
        </w:rPr>
      </w:r>
    </w:p>
    <w:p w:rsidR="00000000" w:rsidDel="00000000" w:rsidP="00000000" w:rsidRDefault="00000000" w:rsidRPr="00000000" w14:paraId="0000004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Issues not addressed by the Claimant that the Defendant considers should be taken into account as material to the determination</w:t>
      </w:r>
      <w:r w:rsidDel="00000000" w:rsidR="00000000" w:rsidRPr="00000000">
        <w:rPr>
          <w:rtl w:val="0"/>
        </w:rPr>
      </w:r>
    </w:p>
    <w:p w:rsidR="00000000" w:rsidDel="00000000" w:rsidP="00000000" w:rsidRDefault="00000000" w:rsidRPr="00000000" w14:paraId="0000004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Why the arguments raised in 6.1 to 6</w:t>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3 taken together favour the position of the Defendant</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Defendant in any case brought before a Timetabling Dispute should keep in mind that in most cases the Panel needs to be given</w:t>
      </w:r>
    </w:p>
    <w:p w:rsidR="00000000" w:rsidDel="00000000" w:rsidP="00000000" w:rsidRDefault="00000000" w:rsidRPr="00000000" w14:paraId="00000043">
      <w:pPr>
        <w:numPr>
          <w:ilvl w:val="0"/>
          <w:numId w:val="3"/>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factors that support the rightness of the Defendant’s actions or position (or failing one “</w:t>
      </w:r>
      <w:r w:rsidDel="00000000" w:rsidR="00000000" w:rsidRPr="00000000">
        <w:rPr>
          <w:rFonts w:ascii="Arial Narrow" w:cs="Arial Narrow" w:eastAsia="Arial Narrow" w:hAnsi="Arial Narrow"/>
          <w:i w:val="1"/>
          <w:rtl w:val="0"/>
        </w:rPr>
        <w:t xml:space="preserve">r</w:t>
      </w:r>
      <w:r w:rsidDel="00000000" w:rsidR="00000000" w:rsidRPr="00000000">
        <w:rPr>
          <w:rFonts w:ascii="Arial Narrow" w:cs="Arial Narrow" w:eastAsia="Arial Narrow" w:hAnsi="Arial Narrow"/>
          <w:i w:val="1"/>
          <w:vertAlign w:val="baseline"/>
          <w:rtl w:val="0"/>
        </w:rPr>
        <w:t xml:space="preserve">ight” position, the ”wisdom” of the position it adopted).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44">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Defendant refutes the Claimant’s arguments or conclusions, such that the extent of the differences between the parties can be clearly appreciated;</w:t>
      </w:r>
      <w:r w:rsidDel="00000000" w:rsidR="00000000" w:rsidRPr="00000000">
        <w:rPr>
          <w:rtl w:val="0"/>
        </w:rPr>
      </w:r>
    </w:p>
    <w:p w:rsidR="00000000" w:rsidDel="00000000" w:rsidP="00000000" w:rsidRDefault="00000000" w:rsidRPr="00000000" w14:paraId="00000045">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6">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Defendant’s individual view of practical implications of the dispute (e.g. numbers of trains potentially affected, ditto passengers or freight customers, order of magnitude of any financial impact) where this differs from the Claimant’s;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47">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Defendant considers it would be inappropriate for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48">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DECISION SOUGHT FROM THE PANEL</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1"/>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Defendant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4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bookmarkStart w:colFirst="0" w:colLast="0" w:name="_heading=h.3znysh7" w:id="2"/>
      <w:bookmarkEnd w:id="2"/>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all their arguments and representations, the Parties should remember that the Panel is constrained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 A5</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Defendant will have a clear reason why it has not already settled the dispute, and the result that it wishes the Panel to deliver.  There is need therefore for it to set down clearly what it wants the Panel to find in its favour.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Logically, when preparing the submission, the decision sought from the Panel should be the first thing finalised, and arguments marshalled to support the case for that outcome.   That said, the Defendant should be clear that the decision sought is one that a Panel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either the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List any specific remedies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sought</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 “as a result of the decided principle(s) above, the Defendant is to pay £X to the Claimant”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r w:rsidDel="00000000" w:rsidR="00000000" w:rsidRPr="00000000">
        <w:rPr>
          <w:rFonts w:ascii="Arial Narrow" w:cs="Arial Narrow" w:eastAsia="Arial Narrow" w:hAnsi="Arial Narrow"/>
          <w:i w:val="1"/>
          <w:rtl w:val="0"/>
        </w:rPr>
        <w:t xml:space="preserv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a Defendant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Clarify whether you wish the Panel to decide other issues – such as costs.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Defendant confirms that it has complied with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Rule H21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of the </w:t>
      </w: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Access Dispute Resolution Rules, which requires that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relevant extracts of contractual Documents containing the provision(s) under which the referral to the Timetabling Panel arises and/or provisions associated provision(s) associated with the substance of the dispute; and</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Rule H21(b) (I)</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Extracts are included where the dispute relates to previous (i.e. no longer current) versions of these documents.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All appendices, and annexes are bound into the submission, and consecutively page numbered.  To assist the Panel, in each Appendix or Annexe</w:t>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heading states which Dispute Party has requested that the particular appendix be placed before the Panel;   and</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information only made available after the main submission has been submitted to Panel Members, will be consecutively numbered, so as to follow on at the conclusion of the previous submission.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SIGNATURES</w:t>
      </w:r>
    </w:p>
    <w:tbl>
      <w:tblPr>
        <w:tblStyle w:val="Table1"/>
        <w:tblW w:w="8291.0" w:type="dxa"/>
        <w:jc w:val="left"/>
        <w:tblInd w:w="0.0" w:type="dxa"/>
        <w:tblLayout w:type="fixed"/>
        <w:tblLook w:val="0000"/>
      </w:tblPr>
      <w:tblGrid>
        <w:gridCol w:w="4145"/>
        <w:gridCol w:w="4146"/>
        <w:tblGridChange w:id="0">
          <w:tblGrid>
            <w:gridCol w:w="4145"/>
            <w:gridCol w:w="4146"/>
          </w:tblGrid>
        </w:tblGridChange>
      </w:tblGrid>
      <w:tr>
        <w:tc>
          <w:tcPr>
            <w:vAlign w:val="top"/>
          </w:tcPr>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Defendant</w:t>
            </w:r>
          </w:p>
        </w:tc>
      </w:tr>
      <w:tr>
        <w:tc>
          <w:tcPr>
            <w:vAlign w:val="top"/>
          </w:tcPr>
          <w:p w:rsidR="00000000" w:rsidDel="00000000" w:rsidP="00000000" w:rsidRDefault="00000000" w:rsidRPr="00000000" w14:paraId="00000069">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w:t>
            </w:r>
            <w:r w:rsidDel="00000000" w:rsidR="00000000" w:rsidRPr="00000000">
              <w:rPr>
                <w:rFonts w:ascii="Arial Narrow" w:cs="Arial Narrow" w:eastAsia="Arial Narrow" w:hAnsi="Arial Narrow"/>
                <w:rtl w:val="0"/>
              </w:rPr>
              <w:t xml:space="preserve">Keolis Amey Operations / Gweithrediadau Keolis Amey Limited</w:t>
            </w:r>
            <w:r w:rsidDel="00000000" w:rsidR="00000000" w:rsidRPr="00000000">
              <w:rPr>
                <w:rtl w:val="0"/>
              </w:rPr>
            </w:r>
          </w:p>
          <w:p w:rsidR="00000000" w:rsidDel="00000000" w:rsidP="00000000" w:rsidRDefault="00000000" w:rsidRPr="00000000" w14:paraId="0000006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Print Name</w:t>
            </w:r>
          </w:p>
          <w:p w:rsidR="00000000" w:rsidDel="00000000" w:rsidP="00000000" w:rsidRDefault="00000000" w:rsidRPr="00000000" w14:paraId="0000007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76">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7">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is a control mechanism; it provides the Panel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this context, the Defendant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“it shall … ensure that … 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A19]</w:t>
      </w:r>
    </w:p>
    <w:sectPr>
      <w:footerReference r:id="rId7" w:type="default"/>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rFonts w:ascii="Arial" w:cs="Arial" w:eastAsia="Arial" w:hAnsi="Arial"/>
        <w:b w:val="1"/>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rFonts w:ascii="Arial" w:cs="Arial" w:eastAsia="Arial" w:hAnsi="Arial"/>
        <w:b w:val="1"/>
        <w:smallCaps w:val="0"/>
        <w:strike w:val="0"/>
        <w:color w:val="000000"/>
        <w:vertAlign w:val="baseline"/>
      </w:rPr>
    </w:lvl>
    <w:lvl w:ilvl="2">
      <w:start w:val="1"/>
      <w:numFmt w:val="lowerLetter"/>
      <w:lvlText w:val="(%3)"/>
      <w:lvlJc w:val="left"/>
      <w:pPr>
        <w:ind w:left="18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5">
    <w:lvl w:ilvl="0">
      <w:start w:val="1"/>
      <w:numFmt w:val="bullet"/>
      <w:lvlText w:val="●"/>
      <w:lvlJc w:val="left"/>
      <w:pPr>
        <w:ind w:left="111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69" w:hanging="709"/>
      </w:pPr>
      <w:rPr>
        <w:smallCaps w:val="0"/>
        <w:strike w:val="0"/>
        <w:color w:val="000000"/>
        <w:vertAlign w:val="baseline"/>
      </w:rPr>
    </w:lvl>
    <w:lvl w:ilvl="2">
      <w:start w:val="1"/>
      <w:numFmt w:val="lowerLetter"/>
      <w:lvlText w:val="(%3)"/>
      <w:lvlJc w:val="left"/>
      <w:pPr>
        <w:ind w:left="1069" w:firstLine="0"/>
      </w:pPr>
      <w:rPr>
        <w:b w:val="0"/>
        <w:i w:val="0"/>
        <w:smallCaps w:val="0"/>
        <w:strike w:val="0"/>
        <w:color w:val="000000"/>
        <w:u w:val="none"/>
        <w:vertAlign w:val="baseline"/>
      </w:rPr>
    </w:lvl>
    <w:lvl w:ilvl="3">
      <w:start w:val="1"/>
      <w:numFmt w:val="lowerRoman"/>
      <w:lvlText w:val="(%4)"/>
      <w:lvlJc w:val="left"/>
      <w:pPr>
        <w:ind w:left="2520" w:hanging="720"/>
      </w:pPr>
      <w:rPr>
        <w:b w:val="0"/>
        <w:i w:val="0"/>
        <w:smallCaps w:val="0"/>
        <w:strike w:val="0"/>
        <w:color w:val="000000"/>
        <w:u w:val="none"/>
        <w:vertAlign w:val="baseline"/>
      </w:rPr>
    </w:lvl>
    <w:lvl w:ilvl="4">
      <w:start w:val="1"/>
      <w:numFmt w:val="upperLetter"/>
      <w:lvlText w:val="(%5)"/>
      <w:lvlJc w:val="left"/>
      <w:pPr>
        <w:ind w:left="3240" w:hanging="720"/>
      </w:pPr>
      <w:rPr>
        <w:b w:val="0"/>
        <w:i w:val="0"/>
        <w:smallCaps w:val="0"/>
        <w:strike w:val="0"/>
        <w:color w:val="000000"/>
        <w:u w:val="none"/>
        <w:vertAlign w:val="baseline"/>
      </w:rPr>
    </w:lvl>
    <w:lvl w:ilvl="5">
      <w:start w:val="1"/>
      <w:numFmt w:val="decimal"/>
      <w:lvlText w:val="%6)"/>
      <w:lvlJc w:val="left"/>
      <w:pPr>
        <w:ind w:left="3960" w:hanging="720"/>
      </w:pPr>
      <w:rPr>
        <w:b w:val="0"/>
        <w:i w:val="0"/>
        <w:smallCaps w:val="0"/>
        <w:strike w:val="0"/>
        <w:color w:val="000000"/>
        <w:u w:val="none"/>
        <w:vertAlign w:val="baseline"/>
      </w:rPr>
    </w:lvl>
    <w:lvl w:ilvl="6">
      <w:start w:val="1"/>
      <w:numFmt w:val="decimal"/>
      <w:lvlText w:val="Not Defined"/>
      <w:lvlJc w:val="left"/>
      <w:pPr>
        <w:ind w:left="360" w:firstLine="0"/>
      </w:pPr>
      <w:rPr>
        <w:b w:val="0"/>
        <w:i w:val="0"/>
        <w:smallCaps w:val="0"/>
        <w:strike w:val="0"/>
        <w:color w:val="000000"/>
        <w:u w:val="none"/>
        <w:vertAlign w:val="baseline"/>
      </w:rPr>
    </w:lvl>
    <w:lvl w:ilvl="7">
      <w:start w:val="1"/>
      <w:numFmt w:val="decimal"/>
      <w:lvlText w:val="Not Defined"/>
      <w:lvlJc w:val="left"/>
      <w:pPr>
        <w:ind w:left="360" w:firstLine="0"/>
      </w:pPr>
      <w:rPr>
        <w:b w:val="0"/>
        <w:i w:val="0"/>
        <w:smallCaps w:val="0"/>
        <w:strike w:val="0"/>
        <w:color w:val="000000"/>
        <w:u w:val="none"/>
        <w:vertAlign w:val="baseline"/>
      </w:rPr>
    </w:lvl>
    <w:lvl w:ilvl="8">
      <w:start w:val="1"/>
      <w:numFmt w:val="decimal"/>
      <w:lvlText w:val="Not Defined"/>
      <w:lvlJc w:val="left"/>
      <w:pPr>
        <w:ind w:left="360" w:firstLine="0"/>
      </w:pPr>
      <w:rPr>
        <w:b w:val="0"/>
        <w:i w:val="0"/>
        <w:smallCaps w:val="0"/>
        <w:strike w:val="0"/>
        <w:color w:val="000000"/>
        <w:u w:val="none"/>
        <w:vertAlign w:val="baseline"/>
      </w:rPr>
    </w:lvl>
  </w:abstractNum>
  <w:abstractNum w:abstractNumId="7">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140" w:hanging="360"/>
      </w:pPr>
      <w:rPr>
        <w:rFonts w:ascii="Noto Sans Symbols" w:cs="Noto Sans Symbols" w:eastAsia="Noto Sans Symbols" w:hAnsi="Noto Sans Symbols"/>
        <w:vertAlign w:val="baseline"/>
      </w:rPr>
    </w:lvl>
    <w:lvl w:ilvl="1">
      <w:start w:val="1"/>
      <w:numFmt w:val="bullet"/>
      <w:lvlText w:val="o"/>
      <w:lvlJc w:val="left"/>
      <w:pPr>
        <w:ind w:left="1860" w:hanging="360"/>
      </w:pPr>
      <w:rPr>
        <w:rFonts w:ascii="Courier New" w:cs="Courier New" w:eastAsia="Courier New" w:hAnsi="Courier New"/>
        <w:vertAlign w:val="baseline"/>
      </w:rPr>
    </w:lvl>
    <w:lvl w:ilvl="2">
      <w:start w:val="1"/>
      <w:numFmt w:val="bullet"/>
      <w:lvlText w:val="▪"/>
      <w:lvlJc w:val="left"/>
      <w:pPr>
        <w:ind w:left="2580" w:hanging="360"/>
      </w:pPr>
      <w:rPr>
        <w:rFonts w:ascii="Noto Sans Symbols" w:cs="Noto Sans Symbols" w:eastAsia="Noto Sans Symbols" w:hAnsi="Noto Sans Symbols"/>
        <w:vertAlign w:val="baseline"/>
      </w:rPr>
    </w:lvl>
    <w:lvl w:ilvl="3">
      <w:start w:val="1"/>
      <w:numFmt w:val="bullet"/>
      <w:lvlText w:val="●"/>
      <w:lvlJc w:val="left"/>
      <w:pPr>
        <w:ind w:left="3300" w:hanging="360"/>
      </w:pPr>
      <w:rPr>
        <w:rFonts w:ascii="Noto Sans Symbols" w:cs="Noto Sans Symbols" w:eastAsia="Noto Sans Symbols" w:hAnsi="Noto Sans Symbols"/>
        <w:vertAlign w:val="baseline"/>
      </w:rPr>
    </w:lvl>
    <w:lvl w:ilvl="4">
      <w:start w:val="1"/>
      <w:numFmt w:val="bullet"/>
      <w:lvlText w:val="o"/>
      <w:lvlJc w:val="left"/>
      <w:pPr>
        <w:ind w:left="4020" w:hanging="360"/>
      </w:pPr>
      <w:rPr>
        <w:rFonts w:ascii="Courier New" w:cs="Courier New" w:eastAsia="Courier New" w:hAnsi="Courier New"/>
        <w:vertAlign w:val="baseline"/>
      </w:rPr>
    </w:lvl>
    <w:lvl w:ilvl="5">
      <w:start w:val="1"/>
      <w:numFmt w:val="bullet"/>
      <w:lvlText w:val="▪"/>
      <w:lvlJc w:val="left"/>
      <w:pPr>
        <w:ind w:left="4740" w:hanging="360"/>
      </w:pPr>
      <w:rPr>
        <w:rFonts w:ascii="Noto Sans Symbols" w:cs="Noto Sans Symbols" w:eastAsia="Noto Sans Symbols" w:hAnsi="Noto Sans Symbols"/>
        <w:vertAlign w:val="baseline"/>
      </w:rPr>
    </w:lvl>
    <w:lvl w:ilvl="6">
      <w:start w:val="1"/>
      <w:numFmt w:val="bullet"/>
      <w:lvlText w:val="●"/>
      <w:lvlJc w:val="left"/>
      <w:pPr>
        <w:ind w:left="5460" w:hanging="360"/>
      </w:pPr>
      <w:rPr>
        <w:rFonts w:ascii="Noto Sans Symbols" w:cs="Noto Sans Symbols" w:eastAsia="Noto Sans Symbols" w:hAnsi="Noto Sans Symbols"/>
        <w:vertAlign w:val="baseline"/>
      </w:rPr>
    </w:lvl>
    <w:lvl w:ilvl="7">
      <w:start w:val="1"/>
      <w:numFmt w:val="bullet"/>
      <w:lvlText w:val="o"/>
      <w:lvlJc w:val="left"/>
      <w:pPr>
        <w:ind w:left="6180" w:hanging="360"/>
      </w:pPr>
      <w:rPr>
        <w:rFonts w:ascii="Courier New" w:cs="Courier New" w:eastAsia="Courier New" w:hAnsi="Courier New"/>
        <w:vertAlign w:val="baseline"/>
      </w:rPr>
    </w:lvl>
    <w:lvl w:ilvl="8">
      <w:start w:val="1"/>
      <w:numFmt w:val="bullet"/>
      <w:lvlText w:val="▪"/>
      <w:lvlJc w:val="left"/>
      <w:pPr>
        <w:ind w:left="690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18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D92hULq4qf9JLTS8fXBJTS+Rqw==">AMUW2mXrK6MX4nrr/f8ZrbauKIo5rqu95lhDkumsFmpiagNkB8pui5D7PqQYyl8Ke1xjARBBZzVYLZtuIakMRl2eCMD1g6YUTS9EAAPCRtdLcoY3xkNAFJoL0XfdXrnS6AVmxBPijtwiQktBxZEUc5UuVYMZ9lbOTg==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2010-12-16T16:28:00Z</dcterms:created>
  <dc:creator>Shrubsole</dc:creator>
</cp:coreProperties>
</file>