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CVL ACCESS DISPUTE RESOLUTION RULES</w:t>
      </w:r>
    </w:p>
    <w:p w:rsidR="00000000" w:rsidDel="00000000" w:rsidP="00000000" w:rsidRDefault="00000000" w:rsidRPr="00000000" w14:paraId="00000002">
      <w:pPr>
        <w:spacing w:line="276"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3">
      <w:pPr>
        <w:spacing w:after="120" w:line="360" w:lineRule="auto"/>
        <w:jc w:val="center"/>
        <w:rPr>
          <w:rFonts w:ascii="Arial Narrow" w:cs="Arial Narrow" w:eastAsia="Arial Narrow" w:hAnsi="Arial Narrow"/>
          <w:b w:val="1"/>
          <w:i w:val="1"/>
          <w:sz w:val="28"/>
          <w:szCs w:val="28"/>
          <w:vertAlign w:val="baseline"/>
        </w:rPr>
      </w:pPr>
      <w:r w:rsidDel="00000000" w:rsidR="00000000" w:rsidRPr="00000000">
        <w:rPr>
          <w:rFonts w:ascii="Arial Narrow" w:cs="Arial Narrow" w:eastAsia="Arial Narrow" w:hAnsi="Arial Narrow"/>
          <w:b w:val="1"/>
          <w:i w:val="1"/>
          <w:sz w:val="28"/>
          <w:szCs w:val="28"/>
          <w:vertAlign w:val="baseline"/>
          <w:rtl w:val="0"/>
        </w:rPr>
        <w:t xml:space="preserve">Template Format (with advisory annotations) for a Statement of Defence for determination by Access Dispute Adjudication (“ADA”) in accordance with the provisions of Chapter G of the CVL ADR Rules</w:t>
      </w:r>
    </w:p>
    <w:p w:rsidR="00000000" w:rsidDel="00000000" w:rsidP="00000000" w:rsidRDefault="00000000" w:rsidRPr="00000000" w14:paraId="00000004">
      <w:pPr>
        <w:spacing w:after="120" w:line="360" w:lineRule="auto"/>
        <w:jc w:val="center"/>
        <w:rPr>
          <w:rFonts w:ascii="Arial Narrow" w:cs="Arial Narrow" w:eastAsia="Arial Narrow" w:hAnsi="Arial Narrow"/>
          <w:b w:val="1"/>
          <w:i w:val="1"/>
          <w:sz w:val="28"/>
          <w:szCs w:val="2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This template, as required by Rule G1</w:t>
      </w:r>
      <w:r w:rsidDel="00000000" w:rsidR="00000000" w:rsidRPr="00000000">
        <w:rPr>
          <w:rFonts w:ascii="Arial Narrow" w:cs="Arial Narrow" w:eastAsia="Arial Narrow" w:hAnsi="Arial Narrow"/>
          <w:b w:val="1"/>
          <w:i w:val="1"/>
          <w:rtl w:val="0"/>
        </w:rPr>
        <w:t xml:space="preserve">6</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(b) is to be used by the Respondent (defendant) Dispute Party to prepare a Statement of Defence for an ADA Hearing.  Within the template, text in Italics is advisory, and should, once taken into account, be deleted from the final document which is submitted.</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ADR Rules B1</w:t>
      </w:r>
      <w:r w:rsidDel="00000000" w:rsidR="00000000" w:rsidRPr="00000000">
        <w:rPr>
          <w:rFonts w:ascii="Arial Narrow" w:cs="Arial Narrow" w:eastAsia="Arial Narrow" w:hAnsi="Arial Narrow"/>
          <w:i w:val="1"/>
          <w:rtl w:val="0"/>
        </w:rPr>
        <w:t xml:space="preserve">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and G</w:t>
      </w:r>
      <w:r w:rsidDel="00000000" w:rsidR="00000000" w:rsidRPr="00000000">
        <w:rPr>
          <w:rFonts w:ascii="Arial Narrow" w:cs="Arial Narrow" w:eastAsia="Arial Narrow" w:hAnsi="Arial Narrow"/>
          <w:i w:val="1"/>
          <w:rtl w:val="0"/>
        </w:rPr>
        <w:t xml:space="preserve">8</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Rule G16 provides the Hearing Chair with discretion to amend the procedures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w:t>
      </w:r>
      <w:r w:rsidDel="00000000" w:rsidR="00000000" w:rsidRPr="00000000">
        <w:rPr>
          <w:rFonts w:ascii="Arial Narrow" w:cs="Arial Narrow" w:eastAsia="Arial Narrow" w:hAnsi="Arial Narrow"/>
          <w:b w:val="1"/>
          <w:i w:val="1"/>
          <w:rtl w:val="0"/>
        </w:rPr>
        <w:t xml:space="preserve">6</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are appropriate”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G1</w:t>
      </w:r>
      <w:r w:rsidDel="00000000" w:rsidR="00000000" w:rsidRPr="00000000">
        <w:rPr>
          <w:rFonts w:ascii="Arial Narrow" w:cs="Arial Narrow" w:eastAsia="Arial Narrow" w:hAnsi="Arial Narrow"/>
          <w:rtl w:val="0"/>
        </w:rPr>
        <w:t xml:space="preserve">5</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template format corresponding to the requirements set down in Rule G1</w:t>
      </w:r>
      <w:r w:rsidDel="00000000" w:rsidR="00000000" w:rsidRPr="00000000">
        <w:rPr>
          <w:rFonts w:ascii="Arial Narrow" w:cs="Arial Narrow" w:eastAsia="Arial Narrow" w:hAnsi="Arial Narrow"/>
          <w:i w:val="1"/>
          <w:rtl w:val="0"/>
        </w:rPr>
        <w:t xml:space="preserve">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(b) is provided in order that any respondent party shall be prompted to ensure that all material relevant to its arguments are available to timescale, always bearing in mind that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 statement of … defence shall be no longer than 20 pages;”.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[Rule G2</w:t>
      </w:r>
      <w:r w:rsidDel="00000000" w:rsidR="00000000" w:rsidRPr="00000000">
        <w:rPr>
          <w:rFonts w:ascii="Arial Narrow" w:cs="Arial Narrow" w:eastAsia="Arial Narrow" w:hAnsi="Arial Narrow"/>
          <w:rtl w:val="0"/>
        </w:rPr>
        <w:t xml:space="preserve">1</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(a)],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 Access Dispute Adjudication (ADA) under these Rules is a determinative dispute resolution process in which, …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G1].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DETAILS OF PARTIES</w:t>
      </w:r>
    </w:p>
    <w:p w:rsidR="00000000" w:rsidDel="00000000" w:rsidP="00000000" w:rsidRDefault="00000000" w:rsidRPr="00000000" w14:paraId="0000001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Claimant"); and</w:t>
      </w:r>
    </w:p>
    <w:p w:rsidR="00000000" w:rsidDel="00000000" w:rsidP="00000000" w:rsidRDefault="00000000" w:rsidRPr="00000000" w14:paraId="0000001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Respondent").</w:t>
      </w:r>
    </w:p>
    <w:p w:rsidR="00000000" w:rsidDel="00000000" w:rsidP="00000000" w:rsidRDefault="00000000" w:rsidRPr="00000000" w14:paraId="0000001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Defendant is aware that any third party may be affected by the ADA finding in any of the ways sought in this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DEFENDANT’S RIGHT TO CONTEST THIS REFERENCE</w:t>
      </w:r>
    </w:p>
    <w:p w:rsidR="00000000" w:rsidDel="00000000" w:rsidP="00000000" w:rsidRDefault="00000000" w:rsidRPr="00000000" w14:paraId="0000001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xxxxxxxxxxxxxxxxxxxxxxxxxxxxxxxxxxxxxxxxxxx.</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needs to make explicitly clear what provisions of its contract entitle, or direct, it to defend its disputed actions before an ADA.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Respondent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Statement of Defence includes:-</w:t>
      </w:r>
    </w:p>
    <w:p w:rsidR="00000000" w:rsidDel="00000000" w:rsidP="00000000" w:rsidRDefault="00000000" w:rsidRPr="00000000" w14:paraId="0000001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Confirmation, or qualification, that the subject matter of the dispute is as set out by the Claimant in its Statement of Claim, in the form of a summary schedule cross-referenced to the issues listed by the Claimant, identifying which the Respondent agrees with and which it disagrees with.</w:t>
      </w:r>
    </w:p>
    <w:p w:rsidR="00000000" w:rsidDel="00000000" w:rsidP="00000000" w:rsidRDefault="00000000" w:rsidRPr="00000000" w14:paraId="0000001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detailed explanation of the Respondent’s arguments in support of its position on those issues where it disagrees with the Claimant’s Statement, including references to documents or contractual provisions not dealt with in the Statement of Claim</w:t>
      </w:r>
    </w:p>
    <w:p w:rsidR="00000000" w:rsidDel="00000000" w:rsidP="00000000" w:rsidRDefault="00000000" w:rsidRPr="00000000" w14:paraId="0000001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further related issues not raised by the Claimant, but which the Respondent considers fall to be determined as part of the dispute; </w:t>
      </w:r>
    </w:p>
    <w:p w:rsidR="00000000" w:rsidDel="00000000" w:rsidP="00000000" w:rsidRDefault="00000000" w:rsidRPr="00000000" w14:paraId="0000001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decisions of principle sought from the ADA in respect of </w:t>
      </w:r>
    </w:p>
    <w:p w:rsidR="00000000" w:rsidDel="00000000" w:rsidP="00000000" w:rsidRDefault="00000000" w:rsidRPr="00000000" w14:paraId="00000020">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legal entitlement and </w:t>
      </w:r>
    </w:p>
    <w:p w:rsidR="00000000" w:rsidDel="00000000" w:rsidP="00000000" w:rsidRDefault="00000000" w:rsidRPr="00000000" w14:paraId="00000021">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remedies;</w:t>
      </w:r>
    </w:p>
    <w:p w:rsidR="00000000" w:rsidDel="00000000" w:rsidP="00000000" w:rsidRDefault="00000000" w:rsidRPr="00000000" w14:paraId="0000002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Appendices and other supporting material.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SUBJECT MATTER OF DISPUTE</w:t>
      </w:r>
    </w:p>
    <w:p w:rsidR="00000000" w:rsidDel="00000000" w:rsidP="00000000" w:rsidRDefault="00000000" w:rsidRPr="00000000" w14:paraId="0000002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very brief details of the dispute, in particular clarifying any areas where the Respondent disagrees with the description of the subject matter of the dispute given by the Claimant.</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8.661417322834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Details of any relevant provisions of the Underlying Contract(s) that the dispute relates to, or is associated with, that have not been cited in the Statement of Claim, but which the Respondent considers supports its case.</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Ensure that a copies of the relevant extracts from the document) referred to above are attached at Annex ● or that the reference is accompanied by ● indexed lever arch files containing documents referred to in this statement of defence.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8.661417322834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NOTE: The parties can assume that an ADA will have access to a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current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dispute derives from actions taken (or not taken) before the date of introduction of the relevant pages of the current Network Code the parties should ensure that the ADA is supplied with the relevant pages of the applicable version</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should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not</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assume that the ADA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details of any other documents that are relevant to the dispute.  The relevant parts must also be copied and annexed to this statement of defence.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SUMMARY OF DISPUTE</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brief details of such relevant background information, not already given by the Claimant, as is necessary to ensure a common level of understanding of all members of the Panel, including details of the contractual framework surrounding the obligations of the parties in relation to the dispute.  This is also the opportunity to make the case that the Claimant has sought to introduce as relevant, material which the Respondent considers does not relate to the circumstance in dispute.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EXPLANATION FROM THE RESPONDENT’S PERSPECTIVE OF EACH ISSUE IN DISPUTE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identify any issues raised by the Claimant where the Respondent agrees, broadly or wholly, with the Claimant;</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identify those issues where the Respondent disagrees with the Claimant’s position, together with the reasons for that disagreement;</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introduce any issues that have not been raised by the Claimant but which the respondent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draw all the foregoing together into a demonstration that the Respondent’s case is the stronger, or should otherwise be preferred to that of the Claimant..</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Statement of Defence should therefore distinguish clearly, by reference to the Statement of Claim,</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Issues where the Respondent accepts the Claimant’s case.</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Issues where the Respondent qualifies or refutes the Claimant’s case, and the reasons therefore.</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Issues not addressed by the Claimant that the Respondent considers should be taken into account as material to the determination, and the reasons supporting these contentions.</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Why the arguments raised in 6.1 to 6.3 taken together favour the position of the Respondent</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in any case brought before an ADA should keep in mind that in most cases the ADA needs to be given</w:t>
      </w:r>
    </w:p>
    <w:p w:rsidR="00000000" w:rsidDel="00000000" w:rsidP="00000000" w:rsidRDefault="00000000" w:rsidRPr="00000000" w14:paraId="0000003D">
      <w:pPr>
        <w:numPr>
          <w:ilvl w:val="0"/>
          <w:numId w:val="3"/>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Respondent’s actions or position (or failing one “Right”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3E">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Respondent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3F">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0">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Respondent’s individual view of the practical implications of the dispute (e.g. numbers of trains potentially affected, ditto passengers or freight customers, order of magnitude of any financial impact).  Given the provisions of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a party is affected by any possible outcome of the dispute..</w:t>
      </w:r>
      <w:r w:rsidDel="00000000" w:rsidR="00000000" w:rsidRPr="00000000">
        <w:rPr>
          <w:rtl w:val="0"/>
        </w:rPr>
      </w:r>
    </w:p>
    <w:p w:rsidR="00000000" w:rsidDel="00000000" w:rsidP="00000000" w:rsidRDefault="00000000" w:rsidRPr="00000000" w14:paraId="00000041">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that the Respondent is in agreement with the Claimant in respect of any aspects of the dispute that the parties do not wish the ADA to address.  This could include instances where, for example, the parties have agreed to test a matter of principle, but reserve to themselves the consequent negotiation of any settlement of quantum. </w:t>
      </w:r>
      <w:r w:rsidDel="00000000" w:rsidR="00000000" w:rsidRPr="00000000">
        <w:rPr>
          <w:rtl w:val="0"/>
        </w:rPr>
      </w:r>
    </w:p>
    <w:p w:rsidR="00000000" w:rsidDel="00000000" w:rsidP="00000000" w:rsidRDefault="00000000" w:rsidRPr="00000000" w14:paraId="00000042">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DECISION SOUGHT FROM THE PANEL</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Respondent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all its arguments and representations, the Respondent should remember that the ADA is constrained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 A5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will have a clear reason why it has not already settled the dispute, and the result that it wishes the ADA to deliver.  There is need therefore for it to set down clearly what it wants the ADA to find in its favour.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Logically, when preparing the submission, the decision sought from the ADA should be the first thing finalised, and arguments marshalled to refute the case made by the Claimant.</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That said, the Respondent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By contrast, an ADA will not support any contention that asks it, for example, to give a ruling that a contract is unfair and/or needs to be changed, because any such determination would not derive from either the ADR Rules, or an effective individual Access contract, and would therefore be beyond the ADA’s powers].</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List any specific remedies</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sought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 “as a result of the decided principle(s) above, the Respondent is not liable to pay £X to the Claimant”</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a Respondent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Clarify whether you wish the Panel to decide other issues – such as costs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Respondent confirms that it has complied with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G1</w:t>
      </w:r>
      <w:r w:rsidDel="00000000" w:rsidR="00000000" w:rsidRPr="00000000">
        <w:rPr>
          <w:rFonts w:ascii="Arial Narrow" w:cs="Arial Narrow" w:eastAsia="Arial Narrow" w:hAnsi="Arial Narrow"/>
          <w:b w:val="1"/>
          <w:rtl w:val="0"/>
        </w:rPr>
        <w:t xml:space="preserve">6</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 (b) (vi)</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which requires that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relevant extracts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any other Documents referred to in the defence”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Where the dispute relates to previous (i.e. no longer current) versions of documents, all relevant extracts of the applicable documents are included.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All appendices, and annexes are bound into the submission, and consecutively page numbered.  To assist the ADA, in each Appendix or Annexe quotations, or references, that are cited in the formal submission are highlighted (or side-lined) so that the context of the quotation or reference is apparent.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information only made available after the main submission has been submitted to the ADA, will be consecutively numbered, so as to follow on at the conclusion of the previous submission.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SIGNATURE</w:t>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c>
          <w:tcPr>
            <w:vAlign w:val="top"/>
          </w:tcPr>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6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B">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is a control mechanism; it provides the ADA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this context, the Respondent is reminded that in sending representatives to argue its case before the ADA,</w:t>
      </w:r>
      <w:r w:rsidDel="00000000" w:rsidR="00000000" w:rsidRPr="00000000">
        <w:rPr>
          <w:rtl w:val="0"/>
        </w:rPr>
      </w:r>
    </w:p>
    <w:p w:rsidR="00000000" w:rsidDel="00000000" w:rsidP="00000000" w:rsidRDefault="00000000" w:rsidRPr="00000000" w14:paraId="0000006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“it shall … ensure that</w:t>
      </w:r>
      <w:r w:rsidDel="00000000" w:rsidR="00000000" w:rsidRPr="00000000">
        <w:rPr>
          <w:rtl w:val="0"/>
        </w:rPr>
      </w:r>
    </w:p>
    <w:p w:rsidR="00000000" w:rsidDel="00000000" w:rsidP="00000000" w:rsidRDefault="00000000" w:rsidRPr="00000000" w14:paraId="0000006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A19]</w:t>
      </w:r>
    </w:p>
    <w:sectPr>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5">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69" w:hanging="709"/>
      </w:pPr>
      <w:rPr>
        <w:smallCaps w:val="0"/>
        <w:strike w:val="0"/>
        <w:color w:val="000000"/>
        <w:vertAlign w:val="baseline"/>
      </w:rPr>
    </w:lvl>
    <w:lvl w:ilvl="2">
      <w:start w:val="1"/>
      <w:numFmt w:val="lowerLetter"/>
      <w:lvlText w:val="(%3)"/>
      <w:lvlJc w:val="left"/>
      <w:pPr>
        <w:ind w:left="1069" w:firstLine="0"/>
      </w:pPr>
      <w:rPr>
        <w:b w:val="0"/>
        <w:i w:val="0"/>
        <w:smallCaps w:val="0"/>
        <w:strike w:val="0"/>
        <w:color w:val="000000"/>
        <w:u w:val="none"/>
        <w:vertAlign w:val="baseline"/>
      </w:rPr>
    </w:lvl>
    <w:lvl w:ilvl="3">
      <w:start w:val="1"/>
      <w:numFmt w:val="lowerRoman"/>
      <w:lvlText w:val="(%4)"/>
      <w:lvlJc w:val="left"/>
      <w:pPr>
        <w:ind w:left="2520" w:hanging="720"/>
      </w:pPr>
      <w:rPr>
        <w:b w:val="0"/>
        <w:i w:val="0"/>
        <w:smallCaps w:val="0"/>
        <w:strike w:val="0"/>
        <w:color w:val="000000"/>
        <w:u w:val="none"/>
        <w:vertAlign w:val="baseline"/>
      </w:rPr>
    </w:lvl>
    <w:lvl w:ilvl="4">
      <w:start w:val="1"/>
      <w:numFmt w:val="upperLetter"/>
      <w:lvlText w:val="(%5)"/>
      <w:lvlJc w:val="left"/>
      <w:pPr>
        <w:ind w:left="3240" w:hanging="720"/>
      </w:pPr>
      <w:rPr>
        <w:b w:val="0"/>
        <w:i w:val="0"/>
        <w:smallCaps w:val="0"/>
        <w:strike w:val="0"/>
        <w:color w:val="000000"/>
        <w:u w:val="none"/>
        <w:vertAlign w:val="baseline"/>
      </w:rPr>
    </w:lvl>
    <w:lvl w:ilvl="5">
      <w:start w:val="1"/>
      <w:numFmt w:val="decimal"/>
      <w:lvlText w:val="%6)"/>
      <w:lvlJc w:val="left"/>
      <w:pPr>
        <w:ind w:left="3960" w:hanging="720"/>
      </w:pPr>
      <w:rPr>
        <w:b w:val="0"/>
        <w:i w:val="0"/>
        <w:smallCaps w:val="0"/>
        <w:strike w:val="0"/>
        <w:color w:val="000000"/>
        <w:u w:val="none"/>
        <w:vertAlign w:val="baseline"/>
      </w:rPr>
    </w:lvl>
    <w:lvl w:ilvl="6">
      <w:start w:val="1"/>
      <w:numFmt w:val="decimal"/>
      <w:lvlText w:val="Not Defined"/>
      <w:lvlJc w:val="left"/>
      <w:pPr>
        <w:ind w:left="360" w:firstLine="0"/>
      </w:pPr>
      <w:rPr>
        <w:b w:val="0"/>
        <w:i w:val="0"/>
        <w:smallCaps w:val="0"/>
        <w:strike w:val="0"/>
        <w:color w:val="000000"/>
        <w:u w:val="none"/>
        <w:vertAlign w:val="baseline"/>
      </w:rPr>
    </w:lvl>
    <w:lvl w:ilvl="7">
      <w:start w:val="1"/>
      <w:numFmt w:val="decimal"/>
      <w:lvlText w:val="Not Defined"/>
      <w:lvlJc w:val="left"/>
      <w:pPr>
        <w:ind w:left="360" w:firstLine="0"/>
      </w:pPr>
      <w:rPr>
        <w:b w:val="0"/>
        <w:i w:val="0"/>
        <w:smallCaps w:val="0"/>
        <w:strike w:val="0"/>
        <w:color w:val="000000"/>
        <w:u w:val="none"/>
        <w:vertAlign w:val="baseline"/>
      </w:rPr>
    </w:lvl>
    <w:lvl w:ilvl="8">
      <w:start w:val="1"/>
      <w:numFmt w:val="decimal"/>
      <w:lvlText w:val="Not Defined"/>
      <w:lvlJc w:val="left"/>
      <w:pPr>
        <w:ind w:left="360" w:firstLine="0"/>
      </w:pPr>
      <w:rPr>
        <w:b w:val="0"/>
        <w:i w:val="0"/>
        <w:smallCaps w:val="0"/>
        <w:strike w:val="0"/>
        <w:color w:val="000000"/>
        <w:u w:val="none"/>
        <w:vertAlign w:val="baseline"/>
      </w:rPr>
    </w:lvl>
  </w:abstractNum>
  <w:abstractNum w:abstractNumId="7">
    <w:lvl w:ilvl="0">
      <w:start w:val="1"/>
      <w:numFmt w:val="upperLetter"/>
      <w:lvlText w:val="(%1)"/>
      <w:lvlJc w:val="left"/>
      <w:pPr>
        <w:ind w:left="1200" w:hanging="480"/>
      </w:pPr>
      <w:rPr>
        <w:rFonts w:ascii="Arial Narrow" w:cs="Arial Narrow" w:eastAsia="Arial Narrow" w:hAnsi="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872UufUXeUcT7nwjuHmCpCJKew==">AMUW2mUxXViWfxYIMObfOIx1y571t+QfggC86sxFEm0vecsiQy9Q6PTSgv90ncNE9+FA86pvIlJcVtnB+G8TrZ5E5cYAjTvq9yIQtKYfpKL8b8m02zO9pgYlxlfdAMzzccTAZMlNKYoF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2010-12-20T13:06:00Z</dcterms:created>
  <dc:creator>Shrubsole</dc:creator>
</cp:coreProperties>
</file>