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Statement of Defence for determination by Access Dispute Adjudication (“ADA”) in accordance with the provisions of Chapter G of the HAL ADR Rules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HAL ADR Rule G1</w:t>
      </w:r>
      <w:r w:rsidDel="00000000" w:rsidR="00000000" w:rsidRPr="00000000">
        <w:rPr>
          <w:rFonts w:ascii="Arial Narrow" w:cs="Arial Narrow" w:eastAsia="Arial Narrow" w:hAnsi="Arial Narrow"/>
          <w:b w:val="1"/>
          <w:i w:val="1"/>
          <w:rtl w:val="0"/>
        </w:rPr>
        <w:t xml:space="preserve">7</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(b) is to be used by the Defendant Dispute Party to prepare a Statement of Defence for an ADA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3">
      <w:pPr>
        <w:pStyle w:val="Heading3"/>
        <w:spacing w:after="120" w:before="0" w:lineRule="auto"/>
        <w:rPr>
          <w:i w:val="0"/>
          <w:vertAlign w:val="baseline"/>
        </w:rPr>
      </w:pPr>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Access Dispute Resolution Rules provide that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1"/>
          <w:sz w:val="22"/>
          <w:szCs w:val="22"/>
        </w:rPr>
      </w:pPr>
      <w:bookmarkStart w:colFirst="0" w:colLast="0" w:name="_heading=h.30j0zll" w:id="1"/>
      <w:bookmarkEnd w:id="1"/>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1"/>
          <w:i w:val="1"/>
          <w:sz w:val="22"/>
          <w:szCs w:val="22"/>
          <w:rtl w:val="0"/>
        </w:rPr>
        <w:t xml:space="preserve">All disputes referred to resolution in accordance with these Rules under Condition B2.4.4 of the HAL Network Code shall be referred to an ADA in accordance with Chapter G of these Rules as a single stage dispute resolution process with no appeal. Following service of a Notice of Dispute relating to such a dispute Rule G9 shall apply and a Procedure Agreement shall be drawn up by the Secretary accordingly.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z w:val="22"/>
          <w:szCs w:val="22"/>
          <w:rtl w:val="0"/>
        </w:rPr>
        <w:t xml:space="preserve">All disputes referred to resolution in accordance with these Rules under Condition J5 of the HAL Network Code shall be referred to an ADA in accordance with Chapter G of these Rules with a right of appeal to the ORR for determination in accordance with Part M of the HAL Network Code. Following service of a Notice of Dispute relating to such a dispute Rule G9 shall apply and a Procedure Agreement shall be drawn up by the Secretary accordingly.</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sz w:val="22"/>
          <w:szCs w:val="22"/>
          <w:u w:val="none"/>
          <w:shd w:fill="auto" w:val="clear"/>
          <w:vertAlign w:val="baseline"/>
          <w:rtl w:val="0"/>
        </w:rPr>
        <w:t xml:space="preserve">[HAL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Rules B6 and B7 “Allocation Process”]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In addition,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Dispute Parties may, in accordance with HAL ADR Rule B1</w:t>
      </w:r>
      <w:r w:rsidDel="00000000" w:rsidR="00000000" w:rsidRPr="00000000">
        <w:rPr>
          <w:rFonts w:ascii="Arial Narrow" w:cs="Arial Narrow" w:eastAsia="Arial Narrow" w:hAnsi="Arial Narrow"/>
          <w:i w:val="1"/>
          <w:sz w:val="22"/>
          <w:szCs w:val="22"/>
          <w:rtl w:val="0"/>
        </w:rPr>
        <w:t xml:space="preserve">0</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agree within a formal “Procedure Agreement” that an ADA is the most appropriate determination procedure for their particular dispute, or,</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where the Parties cannot agree which is the most appropriate determination procedure for their particular dispute, the Allocation Chair shall preside over the process set out in Rule B1</w:t>
      </w:r>
      <w:r w:rsidDel="00000000" w:rsidR="00000000" w:rsidRPr="00000000">
        <w:rPr>
          <w:rFonts w:ascii="Arial Narrow" w:cs="Arial Narrow" w:eastAsia="Arial Narrow" w:hAnsi="Arial Narrow"/>
          <w:i w:val="1"/>
          <w:sz w:val="22"/>
          <w:szCs w:val="22"/>
          <w:rtl w:val="0"/>
        </w:rPr>
        <w:t xml:space="preserve">3</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which may result in the formulation of a Procedure Agreement providing for the Parties to submit to the determination of an ADA.</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HAL ADR Rules B1</w:t>
      </w:r>
      <w:r w:rsidDel="00000000" w:rsidR="00000000" w:rsidRPr="00000000">
        <w:rPr>
          <w:rFonts w:ascii="Arial Narrow" w:cs="Arial Narrow" w:eastAsia="Arial Narrow" w:hAnsi="Arial Narrow"/>
          <w:i w:val="1"/>
          <w:sz w:val="22"/>
          <w:szCs w:val="22"/>
          <w:rtl w:val="0"/>
        </w:rPr>
        <w:t xml:space="preserve">5</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and G</w:t>
      </w:r>
      <w:r w:rsidDel="00000000" w:rsidR="00000000" w:rsidRPr="00000000">
        <w:rPr>
          <w:rFonts w:ascii="Arial Narrow" w:cs="Arial Narrow" w:eastAsia="Arial Narrow" w:hAnsi="Arial Narrow"/>
          <w:i w:val="1"/>
          <w:sz w:val="22"/>
          <w:szCs w:val="22"/>
          <w:rtl w:val="0"/>
        </w:rPr>
        <w:t xml:space="preserve">9</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i w:val="1"/>
          <w:sz w:val="22"/>
          <w:szCs w:val="22"/>
          <w:rtl w:val="0"/>
        </w:rPr>
        <w:t xml:space="preserve">HAL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G1</w:t>
      </w:r>
      <w:r w:rsidDel="00000000" w:rsidR="00000000" w:rsidRPr="00000000">
        <w:rPr>
          <w:rFonts w:ascii="Arial Narrow" w:cs="Arial Narrow" w:eastAsia="Arial Narrow" w:hAnsi="Arial Narrow"/>
          <w:i w:val="1"/>
          <w:sz w:val="22"/>
          <w:szCs w:val="22"/>
          <w:rtl w:val="0"/>
        </w:rPr>
        <w:t xml:space="preserve">1</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provides that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shall adopt procedures suitable to the circumstances of the case, avoiding unnecessary delay or expense to provide a fair means for the resolution of the matters falling to be determined.  The Hearing Chair may give appropriate directions as to any or all aspects of the procedures to be followed and shall have the power at any time to make or amend the procedure (and the directions) to be followed by the parties in the ADA.  The directions shall be in accordance with the Principles.”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[HAL ADR Rule G1</w:t>
      </w:r>
      <w:r w:rsidDel="00000000" w:rsidR="00000000" w:rsidRPr="00000000">
        <w:rPr>
          <w:rFonts w:ascii="Arial Narrow" w:cs="Arial Narrow" w:eastAsia="Arial Narrow" w:hAnsi="Arial Narrow"/>
          <w:i w:val="1"/>
          <w:sz w:val="22"/>
          <w:szCs w:val="22"/>
          <w:rtl w:val="0"/>
        </w:rPr>
        <w:t xml:space="preserve">1</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i w:val="1"/>
          <w:sz w:val="22"/>
          <w:szCs w:val="22"/>
          <w:rtl w:val="0"/>
        </w:rPr>
        <w:t xml:space="preserve">HAL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G1</w:t>
      </w:r>
      <w:r w:rsidDel="00000000" w:rsidR="00000000" w:rsidRPr="00000000">
        <w:rPr>
          <w:rFonts w:ascii="Arial Narrow" w:cs="Arial Narrow" w:eastAsia="Arial Narrow" w:hAnsi="Arial Narrow"/>
          <w:i w:val="1"/>
          <w:sz w:val="22"/>
          <w:szCs w:val="22"/>
          <w:rtl w:val="0"/>
        </w:rPr>
        <w:t xml:space="preserve">6</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provides the Hearing Chair with discretion to amend the procedures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G17 are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appropriate”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[Rule G1</w:t>
      </w:r>
      <w:r w:rsidDel="00000000" w:rsidR="00000000" w:rsidRPr="00000000">
        <w:rPr>
          <w:rFonts w:ascii="Arial Narrow" w:cs="Arial Narrow" w:eastAsia="Arial Narrow" w:hAnsi="Arial Narrow"/>
          <w:i w:val="1"/>
          <w:sz w:val="22"/>
          <w:szCs w:val="22"/>
          <w:rtl w:val="0"/>
        </w:rPr>
        <w:t xml:space="preserve">6</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Template formats corresponding to the requirements set down in HA</w:t>
      </w:r>
      <w:r w:rsidDel="00000000" w:rsidR="00000000" w:rsidRPr="00000000">
        <w:rPr>
          <w:rFonts w:ascii="Arial Narrow" w:cs="Arial Narrow" w:eastAsia="Arial Narrow" w:hAnsi="Arial Narrow"/>
          <w:i w:val="1"/>
          <w:rtl w:val="0"/>
        </w:rPr>
        <w:t xml:space="preserve">L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ADR Rule G1</w:t>
      </w:r>
      <w:r w:rsidDel="00000000" w:rsidR="00000000" w:rsidRPr="00000000">
        <w:rPr>
          <w:rFonts w:ascii="Arial Narrow" w:cs="Arial Narrow" w:eastAsia="Arial Narrow" w:hAnsi="Arial Narrow"/>
          <w:i w:val="1"/>
          <w:rtl w:val="0"/>
        </w:rPr>
        <w:t xml:space="preserve">7</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and (b) are provided in order that the Parties shall be prompted to ensure that all material relevant to their respective arguments are available to the laid down timescale (i.e. Rule G1</w:t>
      </w:r>
      <w:r w:rsidDel="00000000" w:rsidR="00000000" w:rsidRPr="00000000">
        <w:rPr>
          <w:rFonts w:ascii="Arial Narrow" w:cs="Arial Narrow" w:eastAsia="Arial Narrow" w:hAnsi="Arial Narrow"/>
          <w:i w:val="1"/>
          <w:rtl w:val="0"/>
        </w:rPr>
        <w:t xml:space="preserve">7</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as modified in the Procedure Agreement)</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Party/Parties,  and</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subject to confidentiality considerations, to be published on the ADC website;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 statement of claim or defence shall be no longer than 20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G2</w:t>
      </w:r>
      <w:r w:rsidDel="00000000" w:rsidR="00000000" w:rsidRPr="00000000">
        <w:rPr>
          <w:rFonts w:ascii="Arial Narrow" w:cs="Arial Narrow" w:eastAsia="Arial Narrow" w:hAnsi="Arial Narrow"/>
          <w:i w:val="1"/>
          <w:rtl w:val="0"/>
        </w:rPr>
        <w:t xml:space="preserve">2</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“An Access Dispute Adjudication (ADA) under these Rules is a determinative dispute resolution process in which, with the benefit of advice from independent railway Industry Advisors,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[HAL ADR Rule G1].</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Defendant")).</w:t>
      </w:r>
    </w:p>
    <w:p w:rsidR="00000000" w:rsidDel="00000000" w:rsidP="00000000" w:rsidRDefault="00000000" w:rsidRPr="00000000" w14:paraId="0000001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aware that any third party may be affected by the ADA finding in any of the ways sought in this reference, it should ensure that this information is conveyed to the Secretary of the ADC at the earliest possible opportunity, and the names of the relevant parties recorded here.  The affected Parties can seek the guidance of the Hearing Chair (via the Secretary) as to any format to be used in respect of their representations.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DEFENDANT’S RIGHT TO CONTEST THIS REFERENCE</w:t>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Section [  ] of [  ] contract/Condition [  ] of the [Network Code]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*delete as appropriate.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needs to make explicitly clear what provisions of its contract entitle, or direct, it to defend its disputed actions before an ADA.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Defendant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Statement of Defence includes:-</w:t>
      </w:r>
    </w:p>
    <w:p w:rsidR="00000000" w:rsidDel="00000000" w:rsidP="00000000" w:rsidRDefault="00000000" w:rsidRPr="00000000" w14:paraId="0000002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Confirmation, or qualification, that the subject matter of the dispute is as set out by the Claimant in its Statement of Claim, in the form of a summary schedule cross-referenced to the issues disputed by the Claimant in its Statement of Claim, identifying which the Defendant agrees with and which it disagrees with.</w:t>
      </w:r>
    </w:p>
    <w:p w:rsidR="00000000" w:rsidDel="00000000" w:rsidP="00000000" w:rsidRDefault="00000000" w:rsidRPr="00000000" w14:paraId="0000002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Defendant’s arguments in support of its position on those issues where it disagrees with the Claimant’s submission, including references to documents or contractual provisions not dealt with in the Statement of Claim;</w:t>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further related issues not raised by the Claimant, but which the Defendant considers fall to be determined as part of the dispute;</w:t>
      </w:r>
    </w:p>
    <w:p w:rsidR="00000000" w:rsidDel="00000000" w:rsidP="00000000" w:rsidRDefault="00000000" w:rsidRPr="00000000" w14:paraId="0000002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decisions of principle sought from the ADA in respect of</w:t>
      </w:r>
    </w:p>
    <w:p w:rsidR="00000000" w:rsidDel="00000000" w:rsidP="00000000" w:rsidRDefault="00000000" w:rsidRPr="00000000" w14:paraId="0000002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w:t>
      </w:r>
    </w:p>
    <w:p w:rsidR="00000000" w:rsidDel="00000000" w:rsidP="00000000" w:rsidRDefault="00000000" w:rsidRPr="00000000" w14:paraId="0000002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 in particular clarifying any areas where the Defendant disagrees with the description of the subject matter of the dispute given by the Claimant.</w:t>
      </w:r>
      <w:r w:rsidDel="00000000" w:rsidR="00000000" w:rsidRPr="00000000">
        <w:rPr>
          <w:rtl w:val="0"/>
        </w:rPr>
      </w:r>
    </w:p>
    <w:p w:rsidR="00000000" w:rsidDel="00000000" w:rsidP="00000000" w:rsidRDefault="00000000" w:rsidRPr="00000000" w14:paraId="0000002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such relevant background information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 already given by the Claimant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as is necessary to ensure a common level of understanding of all members of the ADA, including details of the contractual framework surrounding the obligations of the parties in relation to the dispute.  This is also the opportunity to make the case that the Claimant has sought to introduce as relevant, material which the Defendant considers does not relate to the circumstance in dispute.</w:t>
      </w:r>
      <w:r w:rsidDel="00000000" w:rsidR="00000000" w:rsidRPr="00000000">
        <w:rPr>
          <w:rtl w:val="0"/>
        </w:rPr>
      </w:r>
    </w:p>
    <w:p w:rsidR="00000000" w:rsidDel="00000000" w:rsidP="00000000" w:rsidRDefault="00000000" w:rsidRPr="00000000" w14:paraId="0000002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Provide details of any relevant provisions of the Underlying Contract(s) that the dispute relates to, or is associated with, that have not been cited in the Claimant’s Reference but which the Defendant considers supports its case.</w:t>
      </w:r>
      <w:r w:rsidDel="00000000" w:rsidR="00000000" w:rsidRPr="00000000">
        <w:rPr>
          <w:rtl w:val="0"/>
        </w:rPr>
      </w:r>
    </w:p>
    <w:p w:rsidR="00000000" w:rsidDel="00000000" w:rsidP="00000000" w:rsidRDefault="00000000" w:rsidRPr="00000000" w14:paraId="0000002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If there is, in the contract, a process, with defined stages, that must be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Ensure that a copy of the relevant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from the document(s) referred to above is/are provided as Appendices.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can be assumed that an ADA will have access to a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current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edition of the HAL Network Code.  However,</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HAL Network Code the Defendant should ensure that the ADA is supplied with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pages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applicable version</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parties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the ADA members have personal copies or knowledge of the relevant parts (in particular any Schedules) of the specific access agreements in dispute whether or not governed by Model Clauses.  The Committee Secretariat is available to give advice.</w:t>
      </w:r>
      <w:r w:rsidDel="00000000" w:rsidR="00000000" w:rsidRPr="00000000">
        <w:rPr>
          <w:rtl w:val="0"/>
        </w:rPr>
      </w:r>
    </w:p>
    <w:p w:rsidR="00000000" w:rsidDel="00000000" w:rsidP="00000000" w:rsidRDefault="00000000" w:rsidRPr="00000000" w14:paraId="0000003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Provide details of any other documents that are relevant to the dispute.  The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relevant parts</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must also be copied and annexed to this Defence.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FROM THE DEFENDANT’S PERSPECTIVE OF EACH ISSUE IN DISPUTE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any issues raised by the Claimant where the Defendant agrees, broadly or wholly, with the Claimant;</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identify those issues where the Defendant disagrees with the Claimant’s position, together with the reasons for that disagreement;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introduce any issues that have not been raised by the Claimant but which the Defendant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to draw all the foregoing together into a demonstration that the Defendant’s case is the stronger, or should otherwise be preferred to that of the Claimant..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Statement of Defence should therefore distinguish clearly, by reference to the Statement of Claim,</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Accepts the Claimant’s Case.</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where the Defendant qualifies or refutes the Claimant’s Case, and the reasons therefore.</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Issues not addressed by the Claimant that the Defendant considers should be taken into account as material to the determination, and the reasons supporting these contentions.</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Why the arguments raised in 5.1 to 5.3 taken together favour the position of the Defendant.</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in any case brought before an ADA should keep in mind that in most cases the ADA needs to be given</w:t>
      </w:r>
    </w:p>
    <w:p w:rsidR="00000000" w:rsidDel="00000000" w:rsidP="00000000" w:rsidRDefault="00000000" w:rsidRPr="00000000" w14:paraId="00000042">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Defendant’s actions or position (or failing one “Right” position, the ”wisdom” of the position it adopted).  Where the argument requires reference to any contractual provision, the precise </w:t>
      </w:r>
      <w:r w:rsidDel="00000000" w:rsidR="00000000" w:rsidRPr="00000000">
        <w:rPr>
          <w:rFonts w:ascii="Arial Narrow" w:cs="Arial Narrow" w:eastAsia="Arial Narrow" w:hAnsi="Arial Narrow"/>
          <w:i w:val="1"/>
          <w:u w:val="single"/>
          <w:vertAlign w:val="baseline"/>
          <w:rtl w:val="0"/>
        </w:rPr>
        <w:t xml:space="preserve">extract </w:t>
      </w:r>
      <w:r w:rsidDel="00000000" w:rsidR="00000000" w:rsidRPr="00000000">
        <w:rPr>
          <w:rFonts w:ascii="Arial Narrow" w:cs="Arial Narrow" w:eastAsia="Arial Narrow" w:hAnsi="Arial Narrow"/>
          <w:i w:val="1"/>
          <w:vertAlign w:val="baseline"/>
          <w:rtl w:val="0"/>
        </w:rPr>
        <w:t xml:space="preserve">should be quoted verbatim;</w:t>
      </w:r>
      <w:r w:rsidDel="00000000" w:rsidR="00000000" w:rsidRPr="00000000">
        <w:rPr>
          <w:rtl w:val="0"/>
        </w:rPr>
      </w:r>
    </w:p>
    <w:p w:rsidR="00000000" w:rsidDel="00000000" w:rsidP="00000000" w:rsidRDefault="00000000" w:rsidRPr="00000000" w14:paraId="00000043">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Defendant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44">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5">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Defendant’s individual view of the practical implications of the dispute (e.g. numbers of trains potentially affected, ditto passengers or freight customers, order of magnitude of any financial impact).   Given the provisions of HAL ADR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a Party is affected by any possible outcome of the dispute;</w:t>
      </w:r>
      <w:r w:rsidDel="00000000" w:rsidR="00000000" w:rsidRPr="00000000">
        <w:rPr>
          <w:rtl w:val="0"/>
        </w:rPr>
      </w:r>
    </w:p>
    <w:p w:rsidR="00000000" w:rsidDel="00000000" w:rsidP="00000000" w:rsidRDefault="00000000" w:rsidRPr="00000000" w14:paraId="00000046">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that the Defendant is in agreement with the Claimant in respect of any aspects of the dispute that the Parties do not wish the ADA to address.  This could include instances where, for example, the Parties have agreed to test a matter of principle, but reserve to themselves the consequent negotiation of any settlement of quantum.</w:t>
      </w:r>
      <w:r w:rsidDel="00000000" w:rsidR="00000000" w:rsidRPr="00000000">
        <w:rPr>
          <w:rtl w:val="0"/>
        </w:rPr>
      </w:r>
    </w:p>
    <w:p w:rsidR="00000000" w:rsidDel="00000000" w:rsidP="00000000" w:rsidRDefault="00000000" w:rsidRPr="00000000" w14:paraId="00000047">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ADJUDICATION</w:t>
      </w:r>
    </w:p>
    <w:p w:rsidR="00000000" w:rsidDel="00000000" w:rsidP="00000000" w:rsidRDefault="00000000" w:rsidRPr="00000000" w14:paraId="0000004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Defendant should set out the outcome it is seeking from the ADA’s determination, differentiating between</w:t>
      </w:r>
      <w:r w:rsidDel="00000000" w:rsidR="00000000" w:rsidRPr="00000000">
        <w:rPr>
          <w:rtl w:val="0"/>
        </w:rPr>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4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6.1.2</w:t>
        <w:tab/>
        <w:t xml:space="preserve">specific conclusions deriving from those matters of principle.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their arguments and representations, the Defendant should remember that the ADA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Defendant will have a clear reason why it has not already settled the dispute, and the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result that it wishes the ADA to deliver.  There is need therefore for it to set down clearly what it wants the ADA to find in its favour.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Logically, when preparing the submission, the decision sought from the ADA should be the first thing finalised, and arguments then marshalled to refute the case made by the Claimant.   That said, the Defendant should be clear that the decision sought is one that an ADA can give.</w:t>
      </w:r>
      <w:r w:rsidDel="00000000" w:rsidR="00000000" w:rsidRPr="00000000">
        <w:rPr>
          <w:rtl w:val="0"/>
        </w:rPr>
      </w:r>
    </w:p>
    <w:p w:rsidR="00000000" w:rsidDel="00000000" w:rsidP="00000000" w:rsidRDefault="00000000" w:rsidRPr="00000000" w14:paraId="0000005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Claimant will have set out any specific remedies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sought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 “as a result of the decided principle(s) above, the Defendant is liable to pay £X to the Claimant”.</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ADA finds in its favour.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Defendant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Hearing Chair to decide other issues – such as ordering costs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Defendant confirms that it has complied with Access Dispute Resolution Rule G1</w:t>
      </w:r>
      <w:r w:rsidDel="00000000" w:rsidR="00000000" w:rsidRPr="00000000">
        <w:rPr>
          <w:rFonts w:ascii="Arial Narrow" w:cs="Arial Narrow" w:eastAsia="Arial Narrow" w:hAnsi="Arial Narrow"/>
          <w:rtl w:val="0"/>
        </w:rPr>
        <w:t xml:space="preserve">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(b)(vi)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[which requires that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shall be annexed and cross referenced to the response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if not dealt with in the statement of claim</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220" w:before="0" w:line="360" w:lineRule="auto"/>
        <w:ind w:left="1260" w:right="0" w:hanging="54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D">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220" w:before="0" w:line="360" w:lineRule="auto"/>
        <w:ind w:left="2880" w:right="0" w:hanging="21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defence”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dispute relates to previous (i.e. no longer current) versions of Access Conditions/the HAL Network Code, all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applicable documents are to be included.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ADA, quotations or references that are cited in the formal submission are highlighted (or side-lined) so that the context of the quotation or reference is apparent.  Any information only made available after the main submission has been submitted to the ADA will be consecutively numbered so as to follow on at the conclusion of the previous submission.</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i w:val="1"/>
                <w:vertAlign w:val="baseline"/>
                <w:rtl w:val="0"/>
              </w:rPr>
              <w:t xml:space="preserve">xxxxxxxxxxxxxxxx</w:t>
            </w:r>
            <w:r w:rsidDel="00000000" w:rsidR="00000000" w:rsidRPr="00000000">
              <w:rPr>
                <w:rFonts w:ascii="Arial Narrow" w:cs="Arial Narrow" w:eastAsia="Arial Narrow" w:hAnsi="Arial Narrow"/>
                <w:vertAlign w:val="baseline"/>
                <w:rtl w:val="0"/>
              </w:rPr>
              <w:t xml:space="preserve"> Ltd</w:t>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E">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ADA with assurance that the dispute has been defended with the knowledge and understanding of the relevant corporate body.   This is important, as engaging in formal dispute resolution implies a commitment to accepting the outcome of that process.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Defendant is reminded that in sending representatives to argue its case before the ADA,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w:t>
      </w:r>
      <w:r w:rsidDel="00000000" w:rsidR="00000000" w:rsidRPr="00000000">
        <w:rPr>
          <w:rtl w:val="0"/>
        </w:rPr>
      </w:r>
    </w:p>
    <w:p w:rsidR="00000000" w:rsidDel="00000000" w:rsidP="00000000" w:rsidRDefault="00000000" w:rsidRPr="00000000" w14:paraId="0000007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A19]</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firstLine="0"/>
        <w:jc w:val="both"/>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The Appendices</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435" w:hanging="435"/>
      </w:pPr>
      <w:rPr>
        <w:vertAlign w:val="baseline"/>
      </w:rPr>
    </w:lvl>
    <w:lvl w:ilvl="1">
      <w:start w:val="1"/>
      <w:numFmt w:val="decimal"/>
      <w:lvlText w:val="%1.%2"/>
      <w:lvlJc w:val="left"/>
      <w:pPr>
        <w:ind w:left="795" w:hanging="435"/>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i w:val="1"/>
        <w:smallCaps w:val="0"/>
        <w:strike w:val="0"/>
        <w:color w:val="000000"/>
        <w:vertAlign w:val="baseline"/>
      </w:rPr>
    </w:lvl>
    <w:lvl w:ilvl="2">
      <w:start w:val="1"/>
      <w:numFmt w:val="lowerLetter"/>
      <w:lvlText w:val="(%3)"/>
      <w:lvlJc w:val="left"/>
      <w:pPr>
        <w:ind w:left="720" w:firstLine="0"/>
      </w:pPr>
      <w:rPr>
        <w:b w:val="0"/>
        <w:i w:val="1"/>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B65W1oju43s7CNWKpZDorUlQ==">AMUW2mVxJ9W6+BkBU9TOXz8KulfEo5LncC4m32Ydk45MbYFd78GGCy+WjfvgegL295qZGwT6KqDXoGIGuTQJr1Qaw0YOvqITMlg9+CjSZDBvO2ty3X0NgUdlu1ckjBkKqW3gvD9/GN8YeFWtKJE87qw6xz8L+kqYa9UUQ5qvcoTx3IviDZWIiZ3tuyC47Nuu7inMBOQ8WIV+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2015-10-29T16:26:00Z</dcterms:created>
  <dc:creator>Shrubsole</dc:creator>
</cp:coreProperties>
</file>