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w:t>
      </w:r>
      <w:r w:rsidDel="00000000" w:rsidR="00000000" w:rsidRPr="00000000">
        <w:rPr>
          <w:rtl w:val="0"/>
        </w:rPr>
      </w:r>
    </w:p>
    <w:p w:rsidR="00000000" w:rsidDel="00000000" w:rsidP="00000000" w:rsidRDefault="00000000" w:rsidRPr="00000000" w14:paraId="00000002">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for a Joint Reference Submission to a Timetabling Panel in accordance with the provisions of Chapter H of the HAL ADR Rules </w:t>
      </w:r>
      <w:r w:rsidDel="00000000" w:rsidR="00000000" w:rsidRPr="00000000">
        <w:rPr>
          <w:rtl w:val="0"/>
        </w:rPr>
      </w:r>
    </w:p>
    <w:p w:rsidR="00000000" w:rsidDel="00000000" w:rsidP="00000000" w:rsidRDefault="00000000" w:rsidRPr="00000000" w14:paraId="00000003">
      <w:pPr>
        <w:spacing w:after="120" w:lineRule="auto"/>
        <w:rPr>
          <w:i w:val="0"/>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ADR Rule H21(a), is to be used by Dispute Parties to prepare a Joint Submission for a Timetabling Panel (TTP) hearing.   Within the template, text in italics is advisory and should, once taken into account, be deleted from the final document.</w:t>
      </w:r>
      <w:r w:rsidDel="00000000" w:rsidR="00000000" w:rsidRPr="00000000">
        <w:rPr>
          <w:rtl w:val="0"/>
        </w:rPr>
      </w:r>
    </w:p>
    <w:p w:rsidR="00000000" w:rsidDel="00000000" w:rsidP="00000000" w:rsidRDefault="00000000" w:rsidRPr="00000000" w14:paraId="00000005">
      <w:pPr>
        <w:pStyle w:val="Heading3"/>
        <w:spacing w:after="120" w:before="0" w:lineRule="auto"/>
        <w:rPr>
          <w:i w:val="0"/>
          <w:vertAlign w:val="baseline"/>
        </w:rPr>
      </w:pPr>
      <w:bookmarkStart w:colFirst="0" w:colLast="0" w:name="_heading=h.gjdgxs" w:id="0"/>
      <w:bookmarkEnd w:id="0"/>
      <w:r w:rsidDel="00000000" w:rsidR="00000000" w:rsidRPr="00000000">
        <w:rPr>
          <w:b w:val="1"/>
          <w:i w:val="1"/>
          <w:vertAlign w:val="baseline"/>
          <w:rtl w:val="0"/>
        </w:rPr>
        <w:t xml:space="preserve">Preamble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 Timetabling Panel shall be subject to the direction of the Hearing Chair.   ADR Rules H20 and H21 provide that,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“20    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9">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agree to submit a joint reference they shall, within 14 days of notification of the appointment of the Hearing Chair, submit a joint reference in accordance with the template format for a joint reference (found on the access disputes website) as may be adapted by the Hearing Chair in respect of a particular dispute;”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expectation is that a single joint reference document will set out all the arguments of both Parties.   As many Timetabling Disputes are subject to the time constraints of the timetabling process, template formats are provided in order that the Parties shall be prompted to ensure that all material relevant to their respective arguments is immediately available</w:t>
      </w:r>
    </w:p>
    <w:p w:rsidR="00000000" w:rsidDel="00000000" w:rsidP="00000000" w:rsidRDefault="00000000" w:rsidRPr="00000000" w14:paraId="0000000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Timetabling Panel in good time for the hearing, and</w:t>
      </w:r>
    </w:p>
    <w:p w:rsidR="00000000" w:rsidDel="00000000" w:rsidP="00000000" w:rsidRDefault="00000000" w:rsidRPr="00000000" w14:paraId="0000000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be published on the ADC website;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 </w:t>
      </w:r>
    </w:p>
    <w:p w:rsidR="00000000" w:rsidDel="00000000" w:rsidP="00000000" w:rsidRDefault="00000000" w:rsidRPr="00000000" w14:paraId="0000000E">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b w:val="1"/>
          <w:i w:val="1"/>
          <w:vertAlign w:val="baseline"/>
          <w:rtl w:val="0"/>
        </w:rPr>
        <w:t xml:space="preserve">“   an oral hearing lasting no more than one day shall be conducted”</w:t>
      </w:r>
      <w:r w:rsidDel="00000000" w:rsidR="00000000" w:rsidRPr="00000000">
        <w:rPr>
          <w:rFonts w:ascii="Arial Narrow" w:cs="Arial Narrow" w:eastAsia="Arial Narrow" w:hAnsi="Arial Narrow"/>
          <w:i w:val="1"/>
          <w:vertAlign w:val="baseline"/>
          <w:rtl w:val="0"/>
        </w:rPr>
        <w:t xml:space="preserve"> [ADR Rule H21(d)] , and that</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maximum length of submissions shall be as follows:</w:t>
      </w:r>
      <w:r w:rsidDel="00000000" w:rsidR="00000000" w:rsidRPr="00000000">
        <w:rPr>
          <w:rtl w:val="0"/>
        </w:rPr>
      </w:r>
    </w:p>
    <w:p w:rsidR="00000000" w:rsidDel="00000000" w:rsidP="00000000" w:rsidRDefault="00000000" w:rsidRPr="00000000" w14:paraId="00000010">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220" w:before="0" w:line="360" w:lineRule="auto"/>
        <w:ind w:left="1260" w:right="0" w:hanging="54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 joint reference shall be no longer than 20 pages”.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H23].</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08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Ltd]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normally </w:t>
      </w:r>
      <w:r w:rsidDel="00000000" w:rsidR="00000000" w:rsidRPr="00000000">
        <w:rPr>
          <w:rFonts w:ascii="Arial Narrow" w:cs="Arial Narrow" w:eastAsia="Arial Narrow" w:hAnsi="Arial Narrow"/>
          <w:i w:val="1"/>
          <w:rtl w:val="0"/>
        </w:rPr>
        <w:t xml:space="preserve">Heathrow Airport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Limited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Company number</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e.g. </w:t>
      </w:r>
      <w:r w:rsidDel="00000000" w:rsidR="00000000" w:rsidRPr="00000000">
        <w:rPr>
          <w:rFonts w:ascii="Arial Narrow" w:cs="Arial Narrow" w:eastAsia="Arial Narrow" w:hAnsi="Arial Narrow"/>
          <w:i w:val="1"/>
          <w:rtl w:val="0"/>
        </w:rPr>
        <w:t xml:space="preserve">01991017</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 e.g. </w:t>
      </w:r>
      <w:r w:rsidDel="00000000" w:rsidR="00000000" w:rsidRPr="00000000">
        <w:rPr>
          <w:rFonts w:ascii="Arial Narrow" w:cs="Arial Narrow" w:eastAsia="Arial Narrow" w:hAnsi="Arial Narrow"/>
          <w:i w:val="1"/>
          <w:rtl w:val="0"/>
        </w:rPr>
        <w:t xml:space="preserve">The Compass Centre, Nelson Road, Hounslow, Middlesex, TW6 2GW</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 </w:t>
      </w:r>
      <w:r w:rsidDel="00000000" w:rsidR="00000000" w:rsidRPr="00000000">
        <w:rPr>
          <w:rFonts w:ascii="Arial Narrow" w:cs="Arial Narrow" w:eastAsia="Arial Narrow" w:hAnsi="Arial Narrow"/>
          <w:i w:val="1"/>
          <w:rtl w:val="0"/>
        </w:rPr>
        <w:t xml:space="preserve">HAL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Defendant")).</w:t>
      </w:r>
    </w:p>
    <w:p w:rsidR="00000000" w:rsidDel="00000000" w:rsidP="00000000" w:rsidRDefault="00000000" w:rsidRPr="00000000" w14:paraId="0000001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addresses, contact details and e-mail addresses if different. </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either Dispute Party is aware that any third party may be affected by the Panel finding in any of the ways sought in Section 7 of this template, they should ensure that this information is conveyed to the Secretary of the ADC at the earliest possible opportunity, and that the names of the relevant parties are recorded here.   There is no expectation that such parties shall participate in the submission of the principal Joint Submission;  the affected Parties can seek the guidance of the Hearing Chair (via the Secretary) as to any format to be used in respect of any representations they may wish to make.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CLAIMANT’S RIGHT TO BRING THIS REFERENCE</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for determination in accordance with Condition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of the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Network Code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Parties need to make explicitly clear what provisions of their contract entitle, or direct, them to bring their dispute before a Timetabling Panel.</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Parties have together produced this joint reference and it includes:-</w:t>
      </w:r>
    </w:p>
    <w:p w:rsidR="00000000" w:rsidDel="00000000" w:rsidP="00000000" w:rsidRDefault="00000000" w:rsidRPr="00000000" w14:paraId="0000001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2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980" w:right="0" w:hanging="12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5, a detailed explanation of the issues in dispute prepared by the Claimant with a paragraph by paragraph response from the Defendant;</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issues raised by the Defendant in Section 6;</w:t>
      </w:r>
    </w:p>
    <w:p w:rsidR="00000000" w:rsidDel="00000000" w:rsidP="00000000" w:rsidRDefault="00000000" w:rsidRPr="00000000" w14:paraId="0000002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980" w:right="0" w:hanging="127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7, the decisions sought from the Panel in respect of </w:t>
      </w:r>
    </w:p>
    <w:p w:rsidR="00000000" w:rsidDel="00000000" w:rsidP="00000000" w:rsidRDefault="00000000" w:rsidRPr="00000000" w14:paraId="0000002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legal entitlement, and</w:t>
      </w:r>
    </w:p>
    <w:p w:rsidR="00000000" w:rsidDel="00000000" w:rsidP="00000000" w:rsidRDefault="00000000" w:rsidRPr="00000000" w14:paraId="00000024">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remedies;</w:t>
      </w:r>
    </w:p>
    <w:p w:rsidR="00000000" w:rsidDel="00000000" w:rsidP="00000000" w:rsidRDefault="00000000" w:rsidRPr="00000000" w14:paraId="0000002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THE DISPUTE</w:t>
      </w:r>
    </w:p>
    <w:p w:rsidR="00000000" w:rsidDel="00000000" w:rsidP="00000000" w:rsidRDefault="00000000" w:rsidRPr="00000000" w14:paraId="0000002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Initially provide a very brief indication of the subject matter of the dispute.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dispute regarding the allocation of capacity during a restriction of use.”</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 details of the Condition in Part D of the HAL Network Code, or the relevant provisions of the Track Access Contract that the dispute relates to, or is associated with.  For example:-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dispute arises over the interpretation of Condition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HAL Network Code /section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/Schedule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bookmarkStart w:colFirst="0" w:colLast="0" w:name="bookmark=id.3znysh7" w:id="3"/>
      <w:bookmarkEnd w:id="3"/>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Track Access Contract</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w:t>
        <w:tab/>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set out such relevant background information as is necessary to ensure a common level of understanding of all members of the Panel, including any further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in the contract, there is a relevant process with defined stages (e.g. consultation, responses within a set timescale, decision with reason),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Apart from the HAL Network Code (see below), ensure that a copy of the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relevant 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from the document(s) referred to above is/are provided as Appendices.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can be assumed that Timetabling Panel members will have access to a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current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edition of the HAL Network Code.  However,</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HAL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parties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Panel Members have personal copies or knowledge of the relevant parts (in particular any Schedules) of the specific access agreements whether or not governed by Model Clauses.  The Committee Secretariat is available to give advice.</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relevant parts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must also be copied and annexed to this submission document.</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WITH RESPONSE</w:t>
      </w:r>
    </w:p>
    <w:p w:rsidR="00000000" w:rsidDel="00000000" w:rsidP="00000000" w:rsidRDefault="00000000" w:rsidRPr="00000000" w14:paraId="0000003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Issue 1</w:t>
      </w:r>
      <w:r w:rsidDel="00000000" w:rsidR="00000000" w:rsidRPr="00000000">
        <w:rPr>
          <w:rtl w:val="0"/>
        </w:rPr>
      </w:r>
    </w:p>
    <w:p w:rsidR="00000000" w:rsidDel="00000000" w:rsidP="00000000" w:rsidRDefault="00000000" w:rsidRPr="00000000" w14:paraId="0000003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Arguments of Claimant.</w:t>
      </w:r>
      <w:r w:rsidDel="00000000" w:rsidR="00000000" w:rsidRPr="00000000">
        <w:rPr>
          <w:rtl w:val="0"/>
        </w:rPr>
      </w:r>
    </w:p>
    <w:p w:rsidR="00000000" w:rsidDel="00000000" w:rsidP="00000000" w:rsidRDefault="00000000" w:rsidRPr="00000000" w14:paraId="0000003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Response by Defendant.</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Issue 2</w:t>
      </w:r>
      <w:r w:rsidDel="00000000" w:rsidR="00000000" w:rsidRPr="00000000">
        <w:rPr>
          <w:rtl w:val="0"/>
        </w:rPr>
      </w:r>
    </w:p>
    <w:p w:rsidR="00000000" w:rsidDel="00000000" w:rsidP="00000000" w:rsidRDefault="00000000" w:rsidRPr="00000000" w14:paraId="0000003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Arguments of Claimant.</w:t>
      </w:r>
      <w:r w:rsidDel="00000000" w:rsidR="00000000" w:rsidRPr="00000000">
        <w:rPr>
          <w:rtl w:val="0"/>
        </w:rPr>
      </w:r>
    </w:p>
    <w:p w:rsidR="00000000" w:rsidDel="00000000" w:rsidP="00000000" w:rsidRDefault="00000000" w:rsidRPr="00000000" w14:paraId="0000003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Response by Defendant.</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88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etc., etc.</w:t>
      </w:r>
      <w:r w:rsidDel="00000000" w:rsidR="00000000" w:rsidRPr="00000000">
        <w:rPr>
          <w:rtl w:val="0"/>
        </w:rPr>
      </w:r>
    </w:p>
    <w:p w:rsidR="00000000" w:rsidDel="00000000" w:rsidP="00000000" w:rsidRDefault="00000000" w:rsidRPr="00000000" w14:paraId="0000003C">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This format has been found to assist Parties and Panel members to focus clearly on the matters that require determination, and the parties will be expected to have had sufficient dialogue with each other to ensure that the submission meets these requirements.</w:t>
      </w:r>
      <w:r w:rsidDel="00000000" w:rsidR="00000000" w:rsidRPr="00000000">
        <w:rPr>
          <w:rtl w:val="0"/>
        </w:rPr>
      </w:r>
    </w:p>
    <w:p w:rsidR="00000000" w:rsidDel="00000000" w:rsidP="00000000" w:rsidRDefault="00000000" w:rsidRPr="00000000" w14:paraId="0000003D">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However, if the parties agree that their dispute would be more clearly presented if, for example, all the Claimant’s arguments are presented first (in one continuous narrative), followed by the Defendant’s case (again in a single narrative) they may adapt the template accordingly.</w:t>
      </w:r>
      <w:r w:rsidDel="00000000" w:rsidR="00000000" w:rsidRPr="00000000">
        <w:rPr>
          <w:rtl w:val="0"/>
        </w:rPr>
      </w:r>
    </w:p>
    <w:p w:rsidR="00000000" w:rsidDel="00000000" w:rsidP="00000000" w:rsidRDefault="00000000" w:rsidRPr="00000000" w14:paraId="0000003E">
      <w:pPr>
        <w:spacing w:after="120" w:line="360" w:lineRule="auto"/>
        <w:rPr>
          <w:rFonts w:ascii="Arial Narrow" w:cs="Arial Narrow" w:eastAsia="Arial Narrow" w:hAnsi="Arial Narrow"/>
          <w:i w:val="0"/>
          <w:smallCaps w:val="0"/>
          <w:vertAlign w:val="baseline"/>
        </w:rPr>
      </w:pPr>
      <w:r w:rsidDel="00000000" w:rsidR="00000000" w:rsidRPr="00000000">
        <w:rPr>
          <w:rFonts w:ascii="Arial Narrow" w:cs="Arial Narrow" w:eastAsia="Arial Narrow" w:hAnsi="Arial Narrow"/>
          <w:i w:val="1"/>
          <w:vertAlign w:val="baseline"/>
          <w:rtl w:val="0"/>
        </w:rPr>
        <w:t xml:space="preserve">In all other circumstances, including where the parties cannot agree how the template should be adapted, the submission should follow the default format in this Template for a Joint Reference.</w:t>
      </w:r>
      <w:r w:rsidDel="00000000" w:rsidR="00000000" w:rsidRPr="00000000">
        <w:rPr>
          <w:rtl w:val="0"/>
        </w:rPr>
      </w:r>
    </w:p>
    <w:p w:rsidR="00000000" w:rsidDel="00000000" w:rsidP="00000000" w:rsidRDefault="00000000" w:rsidRPr="00000000" w14:paraId="0000003F">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Whichever framework is adopted for the presentation of arguments, Parties should keep in mind that the Panel needs to be given</w:t>
      </w:r>
      <w:r w:rsidDel="00000000" w:rsidR="00000000" w:rsidRPr="00000000">
        <w:rPr>
          <w:rtl w:val="0"/>
        </w:rPr>
      </w:r>
    </w:p>
    <w:p w:rsidR="00000000" w:rsidDel="00000000" w:rsidP="00000000" w:rsidRDefault="00000000" w:rsidRPr="00000000" w14:paraId="00000040">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Parties’ respective positions.   Where the argument requires reference to any contractual provision, the precise </w:t>
      </w:r>
      <w:r w:rsidDel="00000000" w:rsidR="00000000" w:rsidRPr="00000000">
        <w:rPr>
          <w:rFonts w:ascii="Arial Narrow" w:cs="Arial Narrow" w:eastAsia="Arial Narrow" w:hAnsi="Arial Narrow"/>
          <w:i w:val="1"/>
          <w:u w:val="single"/>
          <w:vertAlign w:val="baseline"/>
          <w:rtl w:val="0"/>
        </w:rPr>
        <w:t xml:space="preserve">extract</w:t>
      </w:r>
      <w:r w:rsidDel="00000000" w:rsidR="00000000" w:rsidRPr="00000000">
        <w:rPr>
          <w:rFonts w:ascii="Arial Narrow" w:cs="Arial Narrow" w:eastAsia="Arial Narrow" w:hAnsi="Arial Narrow"/>
          <w:i w:val="1"/>
          <w:vertAlign w:val="baseline"/>
          <w:rtl w:val="0"/>
        </w:rPr>
        <w:t xml:space="preserve"> should be quoted verbatim;</w:t>
      </w:r>
      <w:r w:rsidDel="00000000" w:rsidR="00000000" w:rsidRPr="00000000">
        <w:rPr>
          <w:rtl w:val="0"/>
        </w:rPr>
      </w:r>
    </w:p>
    <w:p w:rsidR="00000000" w:rsidDel="00000000" w:rsidP="00000000" w:rsidRDefault="00000000" w:rsidRPr="00000000" w14:paraId="00000041">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Parties are in dispute, noted in such a way that the extent of the difference between the parties can be clearly appreciated;</w:t>
      </w:r>
      <w:r w:rsidDel="00000000" w:rsidR="00000000" w:rsidRPr="00000000">
        <w:rPr>
          <w:rtl w:val="0"/>
        </w:rPr>
      </w:r>
    </w:p>
    <w:p w:rsidR="00000000" w:rsidDel="00000000" w:rsidP="00000000" w:rsidRDefault="00000000" w:rsidRPr="00000000" w14:paraId="00000042">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in each instance whether the point of difference is primarily one of principle, or whether the Parties are agreed on the point of principle and differ only in respect of the applicability of the principle to a specific instance, or on a matter of quantification;</w:t>
      </w:r>
      <w:r w:rsidDel="00000000" w:rsidR="00000000" w:rsidRPr="00000000">
        <w:rPr>
          <w:rtl w:val="0"/>
        </w:rPr>
      </w:r>
    </w:p>
    <w:p w:rsidR="00000000" w:rsidDel="00000000" w:rsidP="00000000" w:rsidRDefault="00000000" w:rsidRPr="00000000" w14:paraId="00000043">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difference between the two positions (e.g.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4">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5">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ANY FURTHER ISSUES RAISED</w:t>
      </w:r>
    </w:p>
    <w:p w:rsidR="00000000" w:rsidDel="00000000" w:rsidP="00000000" w:rsidRDefault="00000000" w:rsidRPr="00000000" w14:paraId="000000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may list any further claim or counter-issue that it wishes to have resolved as a necessary corollary of the dispute being heard.</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Response by Claimant to any of the issues raised by the Defendant in 6.1.</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w:t>
        <w:tab/>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Each Dispute Party should set out the outcome it is seeking from the determination, differentiating between</w:t>
      </w:r>
      <w:r w:rsidDel="00000000" w:rsidR="00000000" w:rsidRPr="00000000">
        <w:rPr>
          <w:rtl w:val="0"/>
        </w:rPr>
      </w:r>
    </w:p>
    <w:p w:rsidR="00000000" w:rsidDel="00000000" w:rsidP="00000000" w:rsidRDefault="00000000" w:rsidRPr="00000000" w14:paraId="0000004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0" w:line="360" w:lineRule="auto"/>
        <w:ind w:left="1684"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0" w:line="360" w:lineRule="auto"/>
        <w:ind w:left="1684"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Each Dispute Party will have a clear reason why it has not already settled the dispute, and the result that each wishes the Panel to deliver.  There is need therefore for each Dispute Party to set down clearly what it wants the Panel to find in its favour.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Panel should be the first thing finalised, and each Dispute Party then marshals its arguments to support that case.  That said, Parties should be satisfied that the decision sought is one that a Panel can give. </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either the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5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17" w:right="0" w:hanging="4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List any specific remedies.  For example “as a result of the decided principle(s) above, the Defendant is to pay £X to the Claimant.”</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Dispute Party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17" w:right="0" w:hanging="4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Hearing Chair to decide other issues – such as ordering costs.</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Parties confirm that they have complied with Access Dispute Resolution Rule H21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which requires that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88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 shall also be annexed and cross referenced to the reference: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is undesirable for complete documents to be provided to the Panel – relevant extracts which demonstrate the Parties’ respective positions are sufficient.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Access Conditions/the HAL Network Code are included where the dispute relates to previous (i.e. no longer current) versions of these documents.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are bound into the submission and consecutively page numbered.  To assist the Panel, in each Appendix</w:t>
      </w:r>
    </w:p>
    <w:p w:rsidR="00000000" w:rsidDel="00000000" w:rsidP="00000000" w:rsidRDefault="00000000" w:rsidRPr="00000000" w14:paraId="000000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the Panel will be consecutively numbered so as to follow on at the conclusion of the previous submission.</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tbl>
      <w:tblPr>
        <w:tblStyle w:val="Table1"/>
        <w:tblW w:w="8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gridCol w:w="4146"/>
        <w:tblGridChange w:id="0">
          <w:tblGrid>
            <w:gridCol w:w="4145"/>
            <w:gridCol w:w="4146"/>
          </w:tblGrid>
        </w:tblGridChange>
      </w:tblGrid>
      <w:tr>
        <w:tc>
          <w:tcPr>
            <w:vAlign w:val="top"/>
          </w:tcPr>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Claimant</w:t>
            </w:r>
          </w:p>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Defendant</w:t>
            </w:r>
          </w:p>
        </w:tc>
      </w:tr>
      <w:tr>
        <w:tc>
          <w:tcPr>
            <w:vAlign w:val="top"/>
          </w:tcPr>
          <w:p w:rsidR="00000000" w:rsidDel="00000000" w:rsidP="00000000" w:rsidRDefault="00000000" w:rsidRPr="00000000" w14:paraId="0000006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6E">
            <w:pP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company name             </w:t>
            </w:r>
            <w:r w:rsidDel="00000000" w:rsidR="00000000" w:rsidRPr="00000000">
              <w:rPr>
                <w:rFonts w:ascii="Arial Narrow" w:cs="Arial Narrow" w:eastAsia="Arial Narrow" w:hAnsi="Arial Narrow"/>
                <w:vertAlign w:val="baseline"/>
                <w:rtl w:val="0"/>
              </w:rPr>
              <w:t xml:space="preserve">Ltd</w:t>
            </w: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7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7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c>
          <w:tcPr>
            <w:vAlign w:val="top"/>
          </w:tcPr>
          <w:p w:rsidR="00000000" w:rsidDel="00000000" w:rsidP="00000000" w:rsidRDefault="00000000" w:rsidRPr="00000000" w14:paraId="00000079">
            <w:pPr>
              <w:rPr>
                <w:rFonts w:ascii="Arial Narrow" w:cs="Arial Narrow" w:eastAsia="Arial Narrow" w:hAnsi="Arial Narrow"/>
                <w:i w:val="0"/>
                <w:vertAlign w:val="baseline"/>
              </w:rPr>
            </w:pPr>
            <w:r w:rsidDel="00000000" w:rsidR="00000000" w:rsidRPr="00000000">
              <w:rPr>
                <w:rFonts w:ascii="Arial Narrow" w:cs="Arial Narrow" w:eastAsia="Arial Narrow" w:hAnsi="Arial Narrow"/>
                <w:vertAlign w:val="baseline"/>
                <w:rtl w:val="0"/>
              </w:rPr>
              <w:t xml:space="preserve">For and on behalf of </w:t>
            </w:r>
            <w:r w:rsidDel="00000000" w:rsidR="00000000" w:rsidRPr="00000000">
              <w:rPr>
                <w:rFonts w:ascii="Arial Narrow" w:cs="Arial Narrow" w:eastAsia="Arial Narrow" w:hAnsi="Arial Narrow"/>
                <w:i w:val="1"/>
                <w:vertAlign w:val="baseline"/>
                <w:rtl w:val="0"/>
              </w:rPr>
              <w:t xml:space="preserve">company name,</w:t>
            </w:r>
            <w:r w:rsidDel="00000000" w:rsidR="00000000" w:rsidRPr="00000000">
              <w:rPr>
                <w:rtl w:val="0"/>
              </w:rPr>
            </w:r>
          </w:p>
          <w:p w:rsidR="00000000" w:rsidDel="00000000" w:rsidP="00000000" w:rsidRDefault="00000000" w:rsidRPr="00000000" w14:paraId="0000007A">
            <w:pP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e.g. </w:t>
            </w:r>
            <w:r w:rsidDel="00000000" w:rsidR="00000000" w:rsidRPr="00000000">
              <w:rPr>
                <w:rFonts w:ascii="Arial Narrow" w:cs="Arial Narrow" w:eastAsia="Arial Narrow" w:hAnsi="Arial Narrow"/>
                <w:i w:val="1"/>
                <w:rtl w:val="0"/>
              </w:rPr>
              <w:t xml:space="preserve">Heathrow Airport</w:t>
            </w:r>
            <w:r w:rsidDel="00000000" w:rsidR="00000000" w:rsidRPr="00000000">
              <w:rPr>
                <w:rFonts w:ascii="Arial Narrow" w:cs="Arial Narrow" w:eastAsia="Arial Narrow" w:hAnsi="Arial Narrow"/>
                <w:i w:val="1"/>
                <w:vertAlign w:val="baseline"/>
                <w:rtl w:val="0"/>
              </w:rPr>
              <w:t xml:space="preserve"> </w:t>
            </w:r>
            <w:r w:rsidDel="00000000" w:rsidR="00000000" w:rsidRPr="00000000">
              <w:rPr>
                <w:rFonts w:ascii="Arial Narrow" w:cs="Arial Narrow" w:eastAsia="Arial Narrow" w:hAnsi="Arial Narrow"/>
                <w:vertAlign w:val="baseline"/>
                <w:rtl w:val="0"/>
              </w:rPr>
              <w:t xml:space="preserve">Ltd</w:t>
            </w: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7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8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8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Panel with assurance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each Dispute Party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ensure that</w:t>
      </w:r>
      <w:r w:rsidDel="00000000" w:rsidR="00000000" w:rsidRPr="00000000">
        <w:rPr>
          <w:rtl w:val="0"/>
        </w:rPr>
      </w:r>
    </w:p>
    <w:p w:rsidR="00000000" w:rsidDel="00000000" w:rsidP="00000000" w:rsidRDefault="00000000" w:rsidRPr="00000000" w14:paraId="0000008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2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ADR Rule A19]</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then provide</w:t>
      </w:r>
      <w:r w:rsidDel="00000000" w:rsidR="00000000" w:rsidRPr="00000000">
        <w:rPr>
          <w:rtl w:val="0"/>
        </w:rPr>
      </w:r>
    </w:p>
    <w:p w:rsidR="00000000" w:rsidDel="00000000" w:rsidP="00000000" w:rsidRDefault="00000000" w:rsidRPr="00000000" w14:paraId="0000008B">
      <w:pPr>
        <w:pStyle w:val="Heading1"/>
        <w:rPr>
          <w:sz w:val="24"/>
          <w:szCs w:val="24"/>
          <w:vertAlign w:val="baseline"/>
        </w:rPr>
      </w:pPr>
      <w:r w:rsidDel="00000000" w:rsidR="00000000" w:rsidRPr="00000000">
        <w:rPr>
          <w:b w:val="1"/>
          <w:vertAlign w:val="baseline"/>
          <w:rtl w:val="0"/>
        </w:rPr>
        <w:t xml:space="preserve">The Appendices</w:t>
      </w:r>
      <w:r w:rsidDel="00000000" w:rsidR="00000000" w:rsidRPr="00000000">
        <w:rPr>
          <w:rtl w:val="0"/>
        </w:rPr>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Page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09" w:hanging="709"/>
      </w:pPr>
      <w:rPr>
        <w:b w:val="1"/>
        <w:i w:val="0"/>
        <w:smallCaps w:val="0"/>
        <w:strike w:val="0"/>
        <w:color w:val="000000"/>
        <w:vertAlign w:val="baseline"/>
      </w:rPr>
    </w:lvl>
    <w:lvl w:ilvl="1">
      <w:start w:val="1"/>
      <w:numFmt w:val="decimal"/>
      <w:lvlText w:val="%1.%2"/>
      <w:lvlJc w:val="left"/>
      <w:pPr>
        <w:ind w:left="889" w:hanging="709"/>
      </w:pPr>
      <w:rPr>
        <w:i w:val="0"/>
        <w:smallCaps w:val="0"/>
        <w:strike w:val="0"/>
        <w:color w:val="000000"/>
        <w:vertAlign w:val="baseline"/>
      </w:rPr>
    </w:lvl>
    <w:lvl w:ilvl="2">
      <w:start w:val="1"/>
      <w:numFmt w:val="lowerLetter"/>
      <w:lvlText w:val="(%3)"/>
      <w:lvlJc w:val="left"/>
      <w:pPr>
        <w:ind w:left="1260" w:firstLine="0"/>
      </w:pPr>
      <w:rPr>
        <w:b w:val="1"/>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4"/>
      <w:numFmt w:val="decimal"/>
      <w:lvlText w:val="%1"/>
      <w:lvlJc w:val="left"/>
      <w:pPr>
        <w:ind w:left="709" w:hanging="709"/>
      </w:pPr>
      <w:rPr>
        <w:b w:val="1"/>
        <w:i w:val="0"/>
        <w:smallCaps w:val="0"/>
        <w:strike w:val="0"/>
        <w:color w:val="000000"/>
        <w:vertAlign w:val="baseline"/>
      </w:rPr>
    </w:lvl>
    <w:lvl w:ilvl="1">
      <w:start w:val="4"/>
      <w:numFmt w:val="decimal"/>
      <w:lvlText w:val="%1.%2"/>
      <w:lvlJc w:val="left"/>
      <w:pPr>
        <w:ind w:left="889" w:hanging="709"/>
      </w:pPr>
      <w:rPr>
        <w:i w:val="0"/>
        <w:smallCaps w:val="0"/>
        <w:strike w:val="0"/>
        <w:color w:val="000000"/>
        <w:vertAlign w:val="baseline"/>
      </w:rPr>
    </w:lvl>
    <w:lvl w:ilvl="2">
      <w:start w:val="1"/>
      <w:numFmt w:val="lowerLetter"/>
      <w:lvlText w:val="(%3)"/>
      <w:lvlJc w:val="left"/>
      <w:pPr>
        <w:ind w:left="1260" w:firstLine="0"/>
      </w:pPr>
      <w:rPr>
        <w:b w:val="1"/>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6">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09" w:hanging="709"/>
      </w:pPr>
      <w:rPr>
        <w:b w:val="1"/>
        <w:i w:val="0"/>
        <w:smallCaps w:val="0"/>
        <w:strike w:val="0"/>
        <w:color w:val="000000"/>
        <w:vertAlign w:val="baseline"/>
      </w:rPr>
    </w:lvl>
    <w:lvl w:ilvl="1">
      <w:start w:val="1"/>
      <w:numFmt w:val="decimal"/>
      <w:lvlText w:val="%1.%2"/>
      <w:lvlJc w:val="left"/>
      <w:pPr>
        <w:ind w:left="889" w:hanging="709"/>
      </w:pPr>
      <w:rPr>
        <w:i w:val="0"/>
        <w:smallCaps w:val="0"/>
        <w:strike w:val="0"/>
        <w:color w:val="000000"/>
        <w:vertAlign w:val="baseline"/>
      </w:rPr>
    </w:lvl>
    <w:lvl w:ilvl="2">
      <w:start w:val="1"/>
      <w:numFmt w:val="lowerLetter"/>
      <w:lvlText w:val="(%3)"/>
      <w:lvlJc w:val="left"/>
      <w:pPr>
        <w:ind w:left="1260" w:firstLine="0"/>
      </w:pPr>
      <w:rPr>
        <w:b w:val="1"/>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9">
    <w:lvl w:ilvl="0">
      <w:start w:val="7"/>
      <w:numFmt w:val="decimal"/>
      <w:lvlText w:val="%1"/>
      <w:lvlJc w:val="left"/>
      <w:pPr>
        <w:ind w:left="435" w:hanging="435"/>
      </w:pPr>
      <w:rPr>
        <w:vertAlign w:val="baseline"/>
      </w:rPr>
    </w:lvl>
    <w:lvl w:ilvl="1">
      <w:start w:val="1"/>
      <w:numFmt w:val="decimal"/>
      <w:lvlText w:val="%1.%2"/>
      <w:lvlJc w:val="left"/>
      <w:pPr>
        <w:ind w:left="917" w:hanging="435"/>
      </w:pPr>
      <w:rPr>
        <w:vertAlign w:val="baseline"/>
      </w:rPr>
    </w:lvl>
    <w:lvl w:ilvl="2">
      <w:start w:val="1"/>
      <w:numFmt w:val="decimal"/>
      <w:lvlText w:val="%1.%2.%3"/>
      <w:lvlJc w:val="left"/>
      <w:pPr>
        <w:ind w:left="1684" w:hanging="720"/>
      </w:pPr>
      <w:rPr>
        <w:vertAlign w:val="baseline"/>
      </w:rPr>
    </w:lvl>
    <w:lvl w:ilvl="3">
      <w:start w:val="1"/>
      <w:numFmt w:val="decimal"/>
      <w:lvlText w:val="%1.%2.%3.%4"/>
      <w:lvlJc w:val="left"/>
      <w:pPr>
        <w:ind w:left="2166" w:hanging="720"/>
      </w:pPr>
      <w:rPr>
        <w:vertAlign w:val="baseline"/>
      </w:rPr>
    </w:lvl>
    <w:lvl w:ilvl="4">
      <w:start w:val="1"/>
      <w:numFmt w:val="decimal"/>
      <w:lvlText w:val="%1.%2.%3.%4.%5"/>
      <w:lvlJc w:val="left"/>
      <w:pPr>
        <w:ind w:left="3008" w:hanging="1080"/>
      </w:pPr>
      <w:rPr>
        <w:vertAlign w:val="baseline"/>
      </w:rPr>
    </w:lvl>
    <w:lvl w:ilvl="5">
      <w:start w:val="1"/>
      <w:numFmt w:val="decimal"/>
      <w:lvlText w:val="%1.%2.%3.%4.%5.%6"/>
      <w:lvlJc w:val="left"/>
      <w:pPr>
        <w:ind w:left="3490" w:hanging="1080"/>
      </w:pPr>
      <w:rPr>
        <w:vertAlign w:val="baseline"/>
      </w:rPr>
    </w:lvl>
    <w:lvl w:ilvl="6">
      <w:start w:val="1"/>
      <w:numFmt w:val="decimal"/>
      <w:lvlText w:val="%1.%2.%3.%4.%5.%6.%7"/>
      <w:lvlJc w:val="left"/>
      <w:pPr>
        <w:ind w:left="4332" w:hanging="1440"/>
      </w:pPr>
      <w:rPr>
        <w:vertAlign w:val="baseline"/>
      </w:rPr>
    </w:lvl>
    <w:lvl w:ilvl="7">
      <w:start w:val="1"/>
      <w:numFmt w:val="decimal"/>
      <w:lvlText w:val="%1.%2.%3.%4.%5.%6.%7.%8"/>
      <w:lvlJc w:val="left"/>
      <w:pPr>
        <w:ind w:left="4814" w:hanging="1440"/>
      </w:pPr>
      <w:rPr>
        <w:vertAlign w:val="baseline"/>
      </w:rPr>
    </w:lvl>
    <w:lvl w:ilvl="8">
      <w:start w:val="1"/>
      <w:numFmt w:val="decimal"/>
      <w:lvlText w:val="%1.%2.%3.%4.%5.%6.%7.%8.%9"/>
      <w:lvlJc w:val="left"/>
      <w:pPr>
        <w:ind w:left="5296" w:hanging="1440"/>
      </w:pPr>
      <w:rPr>
        <w:vertAlign w:val="baseline"/>
      </w:rPr>
    </w:lvl>
  </w:abstractNum>
  <w:abstractNum w:abstractNumId="10">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09" w:hanging="709"/>
      </w:pPr>
      <w:rPr>
        <w:b w:val="1"/>
        <w:i w:val="0"/>
        <w:smallCaps w:val="0"/>
        <w:strike w:val="0"/>
        <w:color w:val="000000"/>
        <w:vertAlign w:val="baseline"/>
      </w:rPr>
    </w:lvl>
    <w:lvl w:ilvl="1">
      <w:start w:val="1"/>
      <w:numFmt w:val="decimal"/>
      <w:lvlText w:val="%1.%2"/>
      <w:lvlJc w:val="left"/>
      <w:pPr>
        <w:ind w:left="889" w:hanging="709"/>
      </w:pPr>
      <w:rPr>
        <w:i w:val="0"/>
        <w:smallCaps w:val="0"/>
        <w:strike w:val="0"/>
        <w:color w:val="000000"/>
        <w:vertAlign w:val="baseline"/>
      </w:rPr>
    </w:lvl>
    <w:lvl w:ilvl="2">
      <w:start w:val="1"/>
      <w:numFmt w:val="lowerLetter"/>
      <w:lvlText w:val="(%3)"/>
      <w:lvlJc w:val="left"/>
      <w:pPr>
        <w:ind w:left="1260" w:firstLine="0"/>
      </w:pPr>
      <w:rPr>
        <w:b w:val="1"/>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6aIf7LoB7cQ26+9HJfaFy5On5w==">AMUW2mVutNMmkfyZ8jgTFWicoeYg3HuvpKVuDSn4n+Tc5a/6OGZLcPsFPCrWqPz/VB5lrRDCjJhtBac1IU5Kq1jH5hUFxNCw8/hYhnfwMYkWK1BpikYjWRLccD4SBvEZhp+MdOkj8EiZW4XgHoRe6KpuKdzwsgXaZHGl0tlZUE1yqKLqG4JuAlo1DjPwwafBAJNpJkPn2l/l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2015-10-29T15:41:00Z</dcterms:created>
  <dc:creator>Shrubsole</dc:creator>
</cp:coreProperties>
</file>