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w:t>
      </w:r>
      <w:r w:rsidDel="00000000" w:rsidR="00000000" w:rsidRPr="00000000">
        <w:rPr>
          <w:rtl w:val="0"/>
        </w:rPr>
      </w:r>
    </w:p>
    <w:p w:rsidR="00000000" w:rsidDel="00000000" w:rsidP="00000000" w:rsidRDefault="00000000" w:rsidRPr="00000000" w14:paraId="00000002">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for a Joint Reference Submission to a Timetabling Panel</w:t>
      </w: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in accordance with the provisions of Chapter H</w:t>
      </w:r>
      <w:r w:rsidDel="00000000" w:rsidR="00000000" w:rsidRPr="00000000">
        <w:rPr>
          <w:rtl w:val="0"/>
        </w:rPr>
      </w:r>
    </w:p>
    <w:p w:rsidR="00000000" w:rsidDel="00000000" w:rsidP="00000000" w:rsidRDefault="00000000" w:rsidRPr="00000000" w14:paraId="00000004">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of the HS1 ADR Rules</w:t>
      </w:r>
      <w:r w:rsidDel="00000000" w:rsidR="00000000" w:rsidRPr="00000000">
        <w:rPr>
          <w:rtl w:val="0"/>
        </w:rPr>
      </w:r>
    </w:p>
    <w:p w:rsidR="00000000" w:rsidDel="00000000" w:rsidP="00000000" w:rsidRDefault="00000000" w:rsidRPr="00000000" w14:paraId="00000005">
      <w:pPr>
        <w:spacing w:after="120" w:lineRule="auto"/>
        <w:rPr>
          <w:i w:val="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Rule H21 (a) is to be used by Dispute Parties to prepare a Joint Submission for a Timetabling Panel (TTP)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7">
      <w:pPr>
        <w:pStyle w:val="Heading3"/>
        <w:spacing w:after="120" w:before="0" w:lineRule="auto"/>
        <w:rPr>
          <w:i w:val="0"/>
          <w:vertAlign w:val="baseline"/>
        </w:rPr>
      </w:pPr>
      <w:bookmarkStart w:colFirst="0" w:colLast="0" w:name="_heading=h.gjdgxs" w:id="0"/>
      <w:bookmarkEnd w:id="0"/>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“20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agree to submit a joint reference they shall, within 14 days of notification of the appointment of the Hearing Chair, submit a joint reference in accordance with the template format for a joint reference (found on the access disputes website) as may be adapted by the Hearing Chair in respect of a particular dispute;”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do not agree to submit a joint reference in accordance with (a) above:…..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Whilst not mandatory, there is an expectation that parties bringing disputes to a Timetabling Panel will table a single joint reference setting out all the arguments of both parties.   Given, furthermore, that many Timetabling disputes are subject to the time constraints of the Timetabling process, template formats are provided in order that the Parties shall be prompted to ensure that all material relevant to their respective arguments are immediately available</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Access Disputes Committee’s website;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11">
      <w:pPr>
        <w:spacing w:after="120" w:line="36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108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 joint reference shall be no longer than 20 pages;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[Rule H23].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i.e.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HS1 Limited (Company number 3539665) whose Registered Office is at </w:t>
      </w:r>
      <w:r w:rsidDel="00000000" w:rsidR="00000000" w:rsidRPr="00000000">
        <w:rPr>
          <w:rFonts w:ascii="Arial Narrow" w:cs="Arial Narrow" w:eastAsia="Arial Narrow" w:hAnsi="Arial Narrow"/>
          <w:rtl w:val="0"/>
        </w:rPr>
        <w:t xml:space="preserve">5th Floor, Kings Place, 90 York Way, London, England, N1 9AG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("HS1") ("the Defendant").</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either Dispute Party is aware that any third party may be affected by the Panel finding in any of the ways sought in Section 8 of this template, they should ensure that this information is conveyed to the Secretary to the ADC at the earliest possible opportunity, and the names of the relevant parties recorded here.   There is no expectation that such parties shall participate in the submission of the principal Joint Submission;  the affected Parties should seek the guidance of the Secretary or Hearing Chair as to any format to be used in respect of their representations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PARTIES’ RIGHT TO BRING THIS REFERENCE</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TTP") for determination in accordance with Condition</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 [ 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of the HS1 Network Code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Parties need to make explicitly clear what provisions of their contract entitle, or direct, them to bring their dispute before a Timetabling Panel.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have together produced this joint reference and it includes:-</w:t>
      </w:r>
    </w:p>
    <w:p w:rsidR="00000000" w:rsidDel="00000000" w:rsidP="00000000" w:rsidRDefault="00000000" w:rsidRPr="00000000" w14:paraId="0000002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prepared by the claimant with a paragraph by paragraph response from the defendant in Section 6;</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issues raised by the respondent in Section 7; </w:t>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8, the decisions of principle sought from the Panel in respect of </w:t>
      </w:r>
    </w:p>
    <w:p w:rsidR="00000000" w:rsidDel="00000000" w:rsidP="00000000" w:rsidRDefault="00000000" w:rsidRPr="00000000" w14:paraId="0000002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legal entitlement and </w:t>
      </w:r>
    </w:p>
    <w:p w:rsidR="00000000" w:rsidDel="00000000" w:rsidP="00000000" w:rsidRDefault="00000000" w:rsidRPr="00000000" w14:paraId="000000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remedies;</w:t>
      </w:r>
    </w:p>
    <w:p w:rsidR="00000000" w:rsidDel="00000000" w:rsidP="00000000" w:rsidRDefault="00000000" w:rsidRPr="00000000" w14:paraId="0000002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regarding the allocation of maintenance responsibilities”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9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as to an offer of train slots”.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 details of the Condition in the HS1 Network Code, or the relevant provisions of the Track Access Contract that the dispute relates to, or is associated with.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Network Code /section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/Schedule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 Access Contract/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Ensure that a copy of the relevant extract(s) from the document(s) referred to above is/are attached at Annex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that the reference is accompanied by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indexed lever arch file(s) containing documents referred to in this Reference.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parties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relevant parts must also be copied and annexed to this submission.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as is necessary to ensure a common level of understanding of all members of the Panel,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WITH RESPONSE</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1</w:t>
      </w:r>
    </w:p>
    <w:p w:rsidR="00000000" w:rsidDel="00000000" w:rsidP="00000000" w:rsidRDefault="00000000" w:rsidRPr="00000000" w14:paraId="0000003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Arguments of Claimant.</w:t>
      </w:r>
    </w:p>
    <w:p w:rsidR="00000000" w:rsidDel="00000000" w:rsidP="00000000" w:rsidRDefault="00000000" w:rsidRPr="00000000" w14:paraId="0000003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Response by Defendant.</w:t>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2</w:t>
      </w:r>
    </w:p>
    <w:p w:rsidR="00000000" w:rsidDel="00000000" w:rsidP="00000000" w:rsidRDefault="00000000" w:rsidRPr="00000000" w14:paraId="0000003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Arguments of Claimant.</w:t>
      </w:r>
    </w:p>
    <w:p w:rsidR="00000000" w:rsidDel="00000000" w:rsidP="00000000" w:rsidRDefault="00000000" w:rsidRPr="00000000" w14:paraId="000000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Response by Defendant.</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etc.etc.</w:t>
      </w:r>
    </w:p>
    <w:p w:rsidR="00000000" w:rsidDel="00000000" w:rsidP="00000000" w:rsidRDefault="00000000" w:rsidRPr="00000000" w14:paraId="00000041">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This format has been found to assist parties and Panel members to focus clearly on the matters that require determination, and the parties will be expected to have had sufficient dialogue with each other to ensure that the submission meets these requirements.</w:t>
      </w:r>
      <w:r w:rsidDel="00000000" w:rsidR="00000000" w:rsidRPr="00000000">
        <w:rPr>
          <w:rtl w:val="0"/>
        </w:rPr>
      </w:r>
    </w:p>
    <w:p w:rsidR="00000000" w:rsidDel="00000000" w:rsidP="00000000" w:rsidRDefault="00000000" w:rsidRPr="00000000" w14:paraId="00000042">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However, if the parties agree that their dispute would be more clearly presented if, for example, all the referring Dispute Party's arguments are presented first (in one continuous narrative), followed by the other Dispute Party's case (again in a single narrative) they may adapt the template accordingly.</w:t>
      </w:r>
      <w:r w:rsidDel="00000000" w:rsidR="00000000" w:rsidRPr="00000000">
        <w:rPr>
          <w:rtl w:val="0"/>
        </w:rPr>
      </w:r>
    </w:p>
    <w:p w:rsidR="00000000" w:rsidDel="00000000" w:rsidP="00000000" w:rsidRDefault="00000000" w:rsidRPr="00000000" w14:paraId="00000043">
      <w:pPr>
        <w:spacing w:after="120" w:line="360" w:lineRule="auto"/>
        <w:rPr>
          <w:rFonts w:ascii="Arial Narrow" w:cs="Arial Narrow" w:eastAsia="Arial Narrow" w:hAnsi="Arial Narrow"/>
          <w:i w:val="0"/>
          <w:smallCaps w:val="0"/>
          <w:vertAlign w:val="baseline"/>
        </w:rPr>
      </w:pPr>
      <w:r w:rsidDel="00000000" w:rsidR="00000000" w:rsidRPr="00000000">
        <w:rPr>
          <w:rFonts w:ascii="Arial Narrow" w:cs="Arial Narrow" w:eastAsia="Arial Narrow" w:hAnsi="Arial Narrow"/>
          <w:i w:val="1"/>
          <w:vertAlign w:val="baseline"/>
          <w:rtl w:val="0"/>
        </w:rPr>
        <w:t xml:space="preserve">In all other circumstances, including where the parties cannot agree how the template should be adapted, the submission should follow the default format in this Template.</w:t>
      </w:r>
      <w:r w:rsidDel="00000000" w:rsidR="00000000" w:rsidRPr="00000000">
        <w:rPr>
          <w:rtl w:val="0"/>
        </w:rPr>
      </w:r>
    </w:p>
    <w:p w:rsidR="00000000" w:rsidDel="00000000" w:rsidP="00000000" w:rsidRDefault="00000000" w:rsidRPr="00000000" w14:paraId="00000044">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Whichever framework is adopted for the presentation of arguments, parties should keep in mind that the Panel needs to be given</w:t>
      </w:r>
      <w:r w:rsidDel="00000000" w:rsidR="00000000" w:rsidRPr="00000000">
        <w:rPr>
          <w:rtl w:val="0"/>
        </w:rPr>
      </w:r>
    </w:p>
    <w:p w:rsidR="00000000" w:rsidDel="00000000" w:rsidP="00000000" w:rsidRDefault="00000000" w:rsidRPr="00000000" w14:paraId="00000045">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parties respective positions..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6">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parties are in dispute, noted in such a way that  the extent of the difference between the parties can be clearly appreciated;</w:t>
      </w:r>
      <w:r w:rsidDel="00000000" w:rsidR="00000000" w:rsidRPr="00000000">
        <w:rPr>
          <w:rtl w:val="0"/>
        </w:rPr>
      </w:r>
    </w:p>
    <w:p w:rsidR="00000000" w:rsidDel="00000000" w:rsidP="00000000" w:rsidRDefault="00000000" w:rsidRPr="00000000" w14:paraId="00000047">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in each instance whether the point of difference is primarily one of principle, or whether the parties are agreed on the point of principle and differ only in respect of the applicability of the principle to a specific instance, or on a matter of quantification;</w:t>
      </w:r>
      <w:r w:rsidDel="00000000" w:rsidR="00000000" w:rsidRPr="00000000">
        <w:rPr>
          <w:rtl w:val="0"/>
        </w:rPr>
      </w:r>
    </w:p>
    <w:p w:rsidR="00000000" w:rsidDel="00000000" w:rsidP="00000000" w:rsidRDefault="00000000" w:rsidRPr="00000000" w14:paraId="00000048">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difference between the two positions (e.g.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9">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A">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ANY FURTHER ISSUES RAISED </w:t>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Defendant may list any further claim or counter-issue that it wishes to be resolved as a necessary corollary of bringing the dispute.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Response by Claimant to any of the issues raised by the Defendant in 7.1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5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Each Dispute Party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Each Dispute Party will have a clear reason why they have not already settled the dispute, and the result that each wishes the Panel to deliver.   There is need therefore for each Dispute Party to set down clearly what they want the Panel to find in their favour.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Panel should be the first thing finalised, and each Dispute Party then marshals its arguments to support that case.   That said, parties should be satisfied that the decision sought is one that a Panel can give. </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w:t>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the HS1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List any specific remedies.  For example “as a result of the decided principle(s) above, the Claimant is to pay £X to the Claimant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Dispute Party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Panel to decide other issues – such as costs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parties confirm that they have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HS1 Access Dispute Resolution Rules, which requires that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H.21)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Extracts are included where the dispute relates to previous (i.e. no longer current) versions of the documents.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Committee secretary will be consecutively numbered, so as to follow on at the conclusion of the previous submission.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tbl>
      <w:tblPr>
        <w:tblStyle w:val="Table1"/>
        <w:tblW w:w="8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gridCol w:w="4146"/>
        <w:tblGridChange w:id="0">
          <w:tblGrid>
            <w:gridCol w:w="4145"/>
            <w:gridCol w:w="4146"/>
          </w:tblGrid>
        </w:tblGridChange>
      </w:tblGrid>
      <w:tr>
        <w:trPr>
          <w:cantSplit w:val="0"/>
          <w:tblHeader w:val="0"/>
        </w:trPr>
        <w:tc>
          <w:tcPr>
            <w:vAlign w:val="top"/>
          </w:tcPr>
          <w:p w:rsidR="00000000" w:rsidDel="00000000" w:rsidP="00000000" w:rsidRDefault="00000000" w:rsidRPr="00000000" w14:paraId="0000007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Claimant</w:t>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7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rPr>
          <w:cantSplit w:val="0"/>
          <w:tblHeader w:val="0"/>
        </w:trPr>
        <w:tc>
          <w:tcPr>
            <w:vAlign w:val="top"/>
          </w:tcPr>
          <w:p w:rsidR="00000000" w:rsidDel="00000000" w:rsidP="00000000" w:rsidRDefault="00000000" w:rsidRPr="00000000" w14:paraId="0000007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74">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company name</w:t>
            </w: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7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7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c>
          <w:tcPr>
            <w:vAlign w:val="top"/>
          </w:tcPr>
          <w:p w:rsidR="00000000" w:rsidDel="00000000" w:rsidP="00000000" w:rsidRDefault="00000000" w:rsidRPr="00000000" w14:paraId="0000007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HS1 Limited</w:t>
            </w:r>
          </w:p>
          <w:p w:rsidR="00000000" w:rsidDel="00000000" w:rsidP="00000000" w:rsidRDefault="00000000" w:rsidRPr="00000000" w14:paraId="00000080">
            <w:pPr>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8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8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8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8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8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8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each Dispute Party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A.19]</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Annexes and Appendices</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8"/>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2ozzijAmQOAyC2pYoY9t11Bqg==">AMUW2mXKzYWnoI/iN51XPt0zSDuPGuGZzd+dJvuLvvWcwWG4PoT5VVXydweJ1SJR+v77S0w/2H87CFnyxDC4EW/bAGq2EgUTObSN5USpFtmPi6gc/spb8u05UUddWdxGSQN2mNBToJhgjajIgMiEq6WJFZDiZGlKnTXx7UaETsRLh0SReM+Evn0=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2010-12-15T12:52:00Z</dcterms:created>
  <dc:creator>Kennett</dc:creator>
</cp:coreProperties>
</file>