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Template Format (with advisory annotations) for a Defendant’s Response to a Sole Reference to a Timetabling Panel in accordance with the provisions of Chapter H of the HS1 ADR Rules</w:t>
      </w:r>
      <w:r w:rsidDel="00000000" w:rsidR="00000000" w:rsidRPr="00000000">
        <w:rPr>
          <w:rtl w:val="0"/>
        </w:rPr>
      </w:r>
    </w:p>
    <w:p w:rsidR="00000000" w:rsidDel="00000000" w:rsidP="00000000" w:rsidRDefault="00000000" w:rsidRPr="00000000" w14:paraId="00000002">
      <w:pPr>
        <w:spacing w:after="12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Rule H21 (b) is to be used by the Defendant Dispute Party to prepare a response submission for a Timetabling Panel hearing.   Within the Template, text in Italics is advisory, and should, once taken into account, be deleted from the final document. </w:t>
      </w:r>
      <w:r w:rsidDel="00000000" w:rsidR="00000000" w:rsidRPr="00000000">
        <w:rPr>
          <w:rtl w:val="0"/>
        </w:rPr>
      </w:r>
    </w:p>
    <w:p w:rsidR="00000000" w:rsidDel="00000000" w:rsidP="00000000" w:rsidRDefault="00000000" w:rsidRPr="00000000" w14:paraId="00000004">
      <w:pPr>
        <w:pStyle w:val="Heading3"/>
        <w:spacing w:after="120" w:before="0" w:lineRule="auto"/>
        <w:rPr>
          <w:rFonts w:ascii="Arial Narrow" w:cs="Arial Narrow" w:eastAsia="Arial Narrow" w:hAnsi="Arial Narrow"/>
          <w:vertAlign w:val="baseline"/>
        </w:rPr>
      </w:pPr>
      <w:bookmarkStart w:colFirst="0" w:colLast="0" w:name="_heading=h.gjdgxs" w:id="0"/>
      <w:bookmarkEnd w:id="0"/>
      <w:r w:rsidDel="00000000" w:rsidR="00000000" w:rsidRPr="00000000">
        <w:rPr>
          <w:rFonts w:ascii="Arial Narrow" w:cs="Arial Narrow" w:eastAsia="Arial Narrow" w:hAnsi="Arial Narrow"/>
          <w:b w:val="1"/>
          <w:vertAlign w:val="baseline"/>
          <w:rtl w:val="0"/>
        </w:rPr>
        <w:t xml:space="preserve">Preamble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“20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agree to submit a joint reference they shall,……..”</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do not agree to submit a joint reference in accordance with (a) above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 each claimant shall ………. produce and serve upon all Involved Parties a sole reference which [SEE FULL TEXT]….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(ii). each defendant shall within seven days of service on it of such sole reference produce and serve upon all Involved Parties a response which [SEE FULL TEXT]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 (Parties)</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Access Disputes Committee’s website;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11">
      <w:pPr>
        <w:spacing w:after="120" w:line="36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(d)  a sole reference or response shall be no longer than 10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[Rule H23].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tab/>
        <w:t xml:space="preserve">[Full Company name]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[Full address]                             ("[insert short form or abbreviation for Company name i.e. its initials]") ("the Claimant"); and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18" w:right="0" w:hanging="698"/>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tab/>
        <w:t xml:space="preserve">HS1 Limited (Company number 3539665) whose Registered Office is at </w:t>
      </w:r>
      <w:r w:rsidDel="00000000" w:rsidR="00000000" w:rsidRPr="00000000">
        <w:rPr>
          <w:rFonts w:ascii="Arial Narrow" w:cs="Arial Narrow" w:eastAsia="Arial Narrow" w:hAnsi="Arial Narrow"/>
          <w:rtl w:val="0"/>
        </w:rPr>
        <w:t xml:space="preserve">5th Floor, Kings Place, 90 York Way, London, England, N1 9AG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(“HS1”) ("the Defendant").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w:t>
        <w:tab/>
        <w:t xml:space="preserve">Include correspondence address, contact details and e-mail address if different. </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aware that any third party may be affected by the Panel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DEFENDANT’S RIGHT TO CONTEST THIS REFERENCE</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Panel") for determination in accordance with Condition</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HS1 Network Code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needs to make explicitly clear what provisions of its contract entitle, or direct, it to defend its disputed actions before a Timetabling Panel.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Response to the Claimant’s Sole Reference includes:-</w:t>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Confirmation, or qualification, that the subject matter of the dispute is as set out by the Claimant in its Sole Reference, in the form of a summary schedule cross referenced to the issues disputed by the Claimant in the Sole Reference, identifying which the Defendant agrees with and which it disagrees with.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detailed explanation of the Defendant’s arguments in support of its position on those issues where it disagrees with the Claimant’s Reference, including references to Documents or contractual provisions not dealt with in the Sole Reference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Any further related issues not raised by the Claimant, but which the Defendant considers fall to be determined as part of the dispute;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decisions of principle sought from the Panel in respect of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legal entitlement and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remedies;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Appendices and other supporting material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 in particular clarifying any areas where the Defendant disagrees with the description of the subject matter of the dispute given by the Claimant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Details of the Condition in the Network Code, or the relevant provisions of the Track Access Contract that the dispute relates to, or is associated with, that have not been cited in the Sole Reference, but which the Defendant considers supports its case.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Ensure that a copy of the relevant extract(s) from the document(s) referred to above is/are attached at Annex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that the reference is accompanied by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indexed lever arch file(s) containing documents referred to in this Reference.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parties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the Defendant considers are relevant to the dispute.  The relevant parts must also be copied and annexed to this Reference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not already given by the Claimant, as is necessary to ensure a common level of understanding of all members of the Panel, including details of the contractual framework surrounding the obligations of the parties in relation to the dispute.   This is also the opportunity to make any case that the Claimant has sought to introduce as relevant, material which the Defendant considers does not relate to the circumstance in dispute.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FROM THE DEFENDANT’S PERSPECTIVE OF EACH ISSUE IN DISPUTE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any issues raised by the Claimant where the defendant agrees, broadly or wholly, with the Claimant;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those issues where the Defendant disagrees with the Claimant’s position together with the reasons for that disagreement;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introduce any issues that have not been raised by the Claimant but which the Defendant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draw all the foregoing together into a demonstration that the Defendant’s case is the stronger, or should otherwise be preferred to that of the Claimant.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Accepts the Claimant’s Case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qualifies or refutes the Claimant’s Case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not addressed by the Claimant that the Defendant considers should be taken into account as material to the determination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Why the arguments raised in 6.1 to 6,3 taken together favour the position of the Defendant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in any case brought before a Timetabling Dispute should keep in mind that in most cases the Panel needs to be given</w:t>
      </w:r>
    </w:p>
    <w:p w:rsidR="00000000" w:rsidDel="00000000" w:rsidP="00000000" w:rsidRDefault="00000000" w:rsidRPr="00000000" w14:paraId="00000041">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Defendant’s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2">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Defendant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43">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4">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Defendant’s individual view of practical implications of the dispute (e.g. numbers of trains potentially affected, ditto passengers or freight customers, order of magnitude of any financial impact) where this differs from the Claimant’s;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5">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Defendant considers it would be inappropriate for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6">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Defendant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will have a clear reason why it has not already settled the dispute, and the result that it wishes the Panel to deliver.  There is need therefore for it to set down clearly what it wants the Panel to find in its favour.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Panel should be the first thing finalised, and arguments marshalled to support the case for that outcome.   That said, the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Defendant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should be clear that the decision sought is one that a Panel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List any specific remedies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sought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 “as a result of the decided principle(s) above, the Defendant is to pay £X to the Claimant”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Defendant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Clarify whether you wish the Panel to decide other issues – such as costs.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Defendant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HS1 Access Dispute Resolution Rules, which requires that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H21(b) (I)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Extracts are included where the dispute relates to previous (i.e. no longer current) versions of these documents.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Panel Members, will be consecutively numbered, so as to follow on at the conclusion of the previous submission.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tbl>
      <w:tblPr>
        <w:tblStyle w:val="Table1"/>
        <w:tblW w:w="8291.0" w:type="dxa"/>
        <w:jc w:val="left"/>
        <w:tblInd w:w="0.0" w:type="dxa"/>
        <w:tblLayout w:type="fixed"/>
        <w:tblLook w:val="0000"/>
      </w:tblPr>
      <w:tblGrid>
        <w:gridCol w:w="4145"/>
        <w:gridCol w:w="4146"/>
        <w:tblGridChange w:id="0">
          <w:tblGrid>
            <w:gridCol w:w="4145"/>
            <w:gridCol w:w="4146"/>
          </w:tblGrid>
        </w:tblGridChange>
      </w:tblGrid>
      <w:tr>
        <w:trPr>
          <w:cantSplit w:val="0"/>
          <w:tblHeader w:val="0"/>
        </w:trPr>
        <w:tc>
          <w:tcPr>
            <w:vAlign w:val="top"/>
          </w:tcPr>
          <w:p w:rsidR="00000000" w:rsidDel="00000000" w:rsidP="00000000" w:rsidRDefault="00000000" w:rsidRPr="00000000" w14:paraId="00000065">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rPr>
          <w:cantSplit w:val="0"/>
          <w:tblHeader w:val="0"/>
        </w:trPr>
        <w:tc>
          <w:tcPr>
            <w:vAlign w:val="top"/>
          </w:tcPr>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HS1 Limited</w:t>
            </w:r>
          </w:p>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74">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the re-assurance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8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Defendant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 ensure that … 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A19]</w:t>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18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69" w:hanging="709"/>
      </w:pPr>
      <w:rPr>
        <w:smallCaps w:val="0"/>
        <w:strike w:val="0"/>
        <w:color w:val="000000"/>
        <w:vertAlign w:val="baseline"/>
      </w:rPr>
    </w:lvl>
    <w:lvl w:ilvl="2">
      <w:start w:val="1"/>
      <w:numFmt w:val="lowerLetter"/>
      <w:lvlText w:val="(%3)"/>
      <w:lvlJc w:val="left"/>
      <w:pPr>
        <w:ind w:left="1069" w:firstLine="0"/>
      </w:pPr>
      <w:rPr>
        <w:b w:val="0"/>
        <w:i w:val="0"/>
        <w:smallCaps w:val="0"/>
        <w:strike w:val="0"/>
        <w:color w:val="000000"/>
        <w:u w:val="none"/>
        <w:vertAlign w:val="baseline"/>
      </w:rPr>
    </w:lvl>
    <w:lvl w:ilvl="3">
      <w:start w:val="1"/>
      <w:numFmt w:val="lowerRoman"/>
      <w:lvlText w:val="(%4)"/>
      <w:lvlJc w:val="left"/>
      <w:pPr>
        <w:ind w:left="2520" w:hanging="720"/>
      </w:pPr>
      <w:rPr>
        <w:b w:val="0"/>
        <w:i w:val="0"/>
        <w:smallCaps w:val="0"/>
        <w:strike w:val="0"/>
        <w:color w:val="000000"/>
        <w:u w:val="none"/>
        <w:vertAlign w:val="baseline"/>
      </w:rPr>
    </w:lvl>
    <w:lvl w:ilvl="4">
      <w:start w:val="1"/>
      <w:numFmt w:val="upperLetter"/>
      <w:lvlText w:val="(%5)"/>
      <w:lvlJc w:val="left"/>
      <w:pPr>
        <w:ind w:left="3240" w:hanging="720"/>
      </w:pPr>
      <w:rPr>
        <w:b w:val="0"/>
        <w:i w:val="0"/>
        <w:smallCaps w:val="0"/>
        <w:strike w:val="0"/>
        <w:color w:val="000000"/>
        <w:u w:val="none"/>
        <w:vertAlign w:val="baseline"/>
      </w:rPr>
    </w:lvl>
    <w:lvl w:ilvl="5">
      <w:start w:val="1"/>
      <w:numFmt w:val="decimal"/>
      <w:lvlText w:val="%6)"/>
      <w:lvlJc w:val="left"/>
      <w:pPr>
        <w:ind w:left="3960" w:hanging="720"/>
      </w:pPr>
      <w:rPr>
        <w:b w:val="0"/>
        <w:i w:val="0"/>
        <w:smallCaps w:val="0"/>
        <w:strike w:val="0"/>
        <w:color w:val="000000"/>
        <w:u w:val="none"/>
        <w:vertAlign w:val="baseline"/>
      </w:rPr>
    </w:lvl>
    <w:lvl w:ilvl="6">
      <w:start w:val="1"/>
      <w:numFmt w:val="decimal"/>
      <w:lvlText w:val="Not Defined"/>
      <w:lvlJc w:val="left"/>
      <w:pPr>
        <w:ind w:left="360" w:firstLine="0"/>
      </w:pPr>
      <w:rPr>
        <w:b w:val="0"/>
        <w:i w:val="0"/>
        <w:smallCaps w:val="0"/>
        <w:strike w:val="0"/>
        <w:color w:val="000000"/>
        <w:u w:val="none"/>
        <w:vertAlign w:val="baseline"/>
      </w:rPr>
    </w:lvl>
    <w:lvl w:ilvl="7">
      <w:start w:val="1"/>
      <w:numFmt w:val="decimal"/>
      <w:lvlText w:val="Not Defined"/>
      <w:lvlJc w:val="left"/>
      <w:pPr>
        <w:ind w:left="360" w:firstLine="0"/>
      </w:pPr>
      <w:rPr>
        <w:b w:val="0"/>
        <w:i w:val="0"/>
        <w:smallCaps w:val="0"/>
        <w:strike w:val="0"/>
        <w:color w:val="000000"/>
        <w:u w:val="none"/>
        <w:vertAlign w:val="baseline"/>
      </w:rPr>
    </w:lvl>
    <w:lvl w:ilvl="8">
      <w:start w:val="1"/>
      <w:numFmt w:val="decimal"/>
      <w:lvlText w:val="Not Defined"/>
      <w:lvlJc w:val="left"/>
      <w:pPr>
        <w:ind w:left="360" w:firstLine="0"/>
      </w:pPr>
      <w:rPr>
        <w:b w:val="0"/>
        <w:i w:val="0"/>
        <w:smallCaps w:val="0"/>
        <w:strike w:val="0"/>
        <w:color w:val="000000"/>
        <w:u w:val="none"/>
        <w:vertAlign w:val="baseline"/>
      </w:rPr>
    </w:lvl>
  </w:abstractNum>
  <w:abstractNum w:abstractNumId="7">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18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yGyqZh8wgCkieqHBMo2WakmbA==">AMUW2mXWrhdlZ60Jicv2BLLGjOyb6IGsh+4Ca/SFt0Nn2OKUsiIa6B6jY5oy5eKiOJB5jP+Pl7O1LYnFlNoyfHWJ7dZ1HpDQftYyxzcya1khfobaTpybwD9MMHLOYw80mKRDpXs5bF/im/OvSL/bQN1s9dLis+slyXErdbG857Cv0Twb10GyvsE=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2010-12-16T16:28:00Z</dcterms:created>
  <dc:creator>Shrubsole</dc:creator>
</cp:coreProperties>
</file>