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Narrow" w:cs="Arial Narrow" w:eastAsia="Arial Narrow" w:hAnsi="Arial Narrow"/>
          <w:b w:val="0"/>
          <w:sz w:val="28"/>
          <w:szCs w:val="28"/>
          <w:vertAlign w:val="baseline"/>
        </w:rPr>
      </w:pPr>
      <w:r w:rsidDel="00000000" w:rsidR="00000000" w:rsidRPr="00000000">
        <w:rPr>
          <w:rFonts w:ascii="Arial Narrow" w:cs="Arial Narrow" w:eastAsia="Arial Narrow" w:hAnsi="Arial Narrow"/>
          <w:b w:val="1"/>
          <w:sz w:val="28"/>
          <w:szCs w:val="28"/>
          <w:vertAlign w:val="baseline"/>
          <w:rtl w:val="0"/>
        </w:rPr>
        <w:t xml:space="preserve">HS1 ACCESS DISPUTE RESOLUTION RULES</w:t>
      </w:r>
      <w:r w:rsidDel="00000000" w:rsidR="00000000" w:rsidRPr="00000000">
        <w:rPr>
          <w:rtl w:val="0"/>
        </w:rPr>
      </w:r>
    </w:p>
    <w:p w:rsidR="00000000" w:rsidDel="00000000" w:rsidP="00000000" w:rsidRDefault="00000000" w:rsidRPr="00000000" w14:paraId="00000002">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3">
      <w:pPr>
        <w:jc w:val="center"/>
        <w:rPr>
          <w:rFonts w:ascii="Arial Narrow" w:cs="Arial Narrow" w:eastAsia="Arial Narrow" w:hAnsi="Arial Narrow"/>
          <w:b w:val="0"/>
          <w:sz w:val="28"/>
          <w:szCs w:val="28"/>
          <w:vertAlign w:val="baseline"/>
        </w:rPr>
      </w:pPr>
      <w:r w:rsidDel="00000000" w:rsidR="00000000" w:rsidRPr="00000000">
        <w:rPr>
          <w:rFonts w:ascii="Arial Narrow" w:cs="Arial Narrow" w:eastAsia="Arial Narrow" w:hAnsi="Arial Narrow"/>
          <w:b w:val="1"/>
          <w:sz w:val="28"/>
          <w:szCs w:val="28"/>
          <w:vertAlign w:val="baseline"/>
          <w:rtl w:val="0"/>
        </w:rPr>
        <w:t xml:space="preserve">Template format for a Notice of Dispute (Non-Timetabling)</w:t>
      </w:r>
      <w:r w:rsidDel="00000000" w:rsidR="00000000" w:rsidRPr="00000000">
        <w:rPr>
          <w:rtl w:val="0"/>
        </w:rPr>
      </w:r>
    </w:p>
    <w:p w:rsidR="00000000" w:rsidDel="00000000" w:rsidP="00000000" w:rsidRDefault="00000000" w:rsidRPr="00000000" w14:paraId="00000004">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5">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HS1 Access Dispute Resolution Rule B2 requires a Resolution Service Party wishing to refer a dispute to serve a written Notice of Dispute on the Secretary and a copy on every other party to the dispute.  Rule B3 requires that, </w:t>
      </w:r>
      <w:r w:rsidDel="00000000" w:rsidR="00000000" w:rsidRPr="00000000">
        <w:rPr>
          <w:rFonts w:ascii="Arial Narrow" w:cs="Arial Narrow" w:eastAsia="Arial Narrow" w:hAnsi="Arial Narrow"/>
          <w:i w:val="1"/>
          <w:vertAlign w:val="baseline"/>
          <w:rtl w:val="0"/>
        </w:rPr>
        <w:t xml:space="preserve">unless otherwise advised by the Secretary</w:t>
      </w:r>
      <w:r w:rsidDel="00000000" w:rsidR="00000000" w:rsidRPr="00000000">
        <w:rPr>
          <w:rFonts w:ascii="Arial Narrow" w:cs="Arial Narrow" w:eastAsia="Arial Narrow" w:hAnsi="Arial Narrow"/>
          <w:vertAlign w:val="baseline"/>
          <w:rtl w:val="0"/>
        </w:rPr>
        <w:t xml:space="preserve">, the Notice of Dispute shall normally be in accordance with this template format and shall do all of the following:</w:t>
      </w:r>
    </w:p>
    <w:tbl>
      <w:tblPr>
        <w:tblStyle w:val="Table1"/>
        <w:tblW w:w="8856.0" w:type="dxa"/>
        <w:jc w:val="left"/>
        <w:tblInd w:w="0.0" w:type="dxa"/>
        <w:tblLayout w:type="fixed"/>
        <w:tblLook w:val="0000"/>
      </w:tblPr>
      <w:tblGrid>
        <w:gridCol w:w="468"/>
        <w:gridCol w:w="8388"/>
        <w:tblGridChange w:id="0">
          <w:tblGrid>
            <w:gridCol w:w="468"/>
            <w:gridCol w:w="8388"/>
          </w:tblGrid>
        </w:tblGridChange>
      </w:tblGrid>
      <w:tr>
        <w:trPr>
          <w:cantSplit w:val="0"/>
          <w:tblHeader w:val="0"/>
        </w:trPr>
        <w:tc>
          <w:tcPr>
            <w:vAlign w:val="top"/>
          </w:tcPr>
          <w:p w:rsidR="00000000" w:rsidDel="00000000" w:rsidP="00000000" w:rsidRDefault="00000000" w:rsidRPr="00000000" w14:paraId="00000006">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w:t>
            </w:r>
          </w:p>
        </w:tc>
        <w:tc>
          <w:tcPr>
            <w:vAlign w:val="top"/>
          </w:tcPr>
          <w:p w:rsidR="00000000" w:rsidDel="00000000" w:rsidP="00000000" w:rsidRDefault="00000000" w:rsidRPr="00000000" w14:paraId="00000007">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state the contract and relevant contractual clause under which the reference is made (or such other basis for the reference under the Rules);</w:t>
            </w:r>
          </w:p>
        </w:tc>
      </w:tr>
      <w:tr>
        <w:trPr>
          <w:cantSplit w:val="0"/>
          <w:tblHeader w:val="0"/>
        </w:trPr>
        <w:tc>
          <w:tcPr>
            <w:vAlign w:val="top"/>
          </w:tcPr>
          <w:p w:rsidR="00000000" w:rsidDel="00000000" w:rsidP="00000000" w:rsidRDefault="00000000" w:rsidRPr="00000000" w14:paraId="00000008">
            <w:pPr>
              <w:rPr>
                <w:rFonts w:ascii="Arial Narrow" w:cs="Arial Narrow" w:eastAsia="Arial Narrow" w:hAnsi="Arial Narrow"/>
                <w:vertAlign w:val="baseline"/>
              </w:rPr>
            </w:pPr>
            <w:bookmarkStart w:colFirst="0" w:colLast="0" w:name="_heading=h.gjdgxs" w:id="0"/>
            <w:bookmarkEnd w:id="0"/>
            <w:r w:rsidDel="00000000" w:rsidR="00000000" w:rsidRPr="00000000">
              <w:rPr>
                <w:rFonts w:ascii="Arial Narrow" w:cs="Arial Narrow" w:eastAsia="Arial Narrow" w:hAnsi="Arial Narrow"/>
                <w:vertAlign w:val="baseline"/>
                <w:rtl w:val="0"/>
              </w:rPr>
              <w:t xml:space="preserve">(b)</w:t>
            </w:r>
          </w:p>
        </w:tc>
        <w:tc>
          <w:tcPr>
            <w:vAlign w:val="top"/>
          </w:tcPr>
          <w:p w:rsidR="00000000" w:rsidDel="00000000" w:rsidP="00000000" w:rsidRDefault="00000000" w:rsidRPr="00000000" w14:paraId="00000009">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list the other parties concerned whether as a Dispute Party to the dispute or otherwise;</w:t>
            </w:r>
          </w:p>
        </w:tc>
      </w:tr>
      <w:tr>
        <w:trPr>
          <w:cantSplit w:val="0"/>
          <w:tblHeader w:val="0"/>
        </w:trPr>
        <w:tc>
          <w:tcPr>
            <w:vAlign w:val="top"/>
          </w:tcPr>
          <w:p w:rsidR="00000000" w:rsidDel="00000000" w:rsidP="00000000" w:rsidRDefault="00000000" w:rsidRPr="00000000" w14:paraId="0000000A">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w:t>
            </w:r>
          </w:p>
        </w:tc>
        <w:tc>
          <w:tcPr>
            <w:vAlign w:val="top"/>
          </w:tcPr>
          <w:p w:rsidR="00000000" w:rsidDel="00000000" w:rsidP="00000000" w:rsidRDefault="00000000" w:rsidRPr="00000000" w14:paraId="0000000B">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summarise the basis of the claim including a brief list of issues;</w:t>
            </w:r>
          </w:p>
        </w:tc>
      </w:tr>
      <w:tr>
        <w:trPr>
          <w:cantSplit w:val="0"/>
          <w:tblHeader w:val="0"/>
        </w:trPr>
        <w:tc>
          <w:tcPr>
            <w:vAlign w:val="top"/>
          </w:tcPr>
          <w:p w:rsidR="00000000" w:rsidDel="00000000" w:rsidP="00000000" w:rsidRDefault="00000000" w:rsidRPr="00000000" w14:paraId="0000000C">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w:t>
            </w:r>
          </w:p>
        </w:tc>
        <w:tc>
          <w:tcPr>
            <w:vAlign w:val="top"/>
          </w:tcPr>
          <w:p w:rsidR="00000000" w:rsidDel="00000000" w:rsidP="00000000" w:rsidRDefault="00000000" w:rsidRPr="00000000" w14:paraId="0000000D">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state whether the Dispute Parties have already agreed on a determination procedure, or, if not, specify the referring party's initial preference for a determination procedure; and</w:t>
            </w:r>
          </w:p>
        </w:tc>
      </w:tr>
      <w:tr>
        <w:trPr>
          <w:cantSplit w:val="0"/>
          <w:tblHeader w:val="0"/>
        </w:trPr>
        <w:tc>
          <w:tcPr>
            <w:vAlign w:val="top"/>
          </w:tcPr>
          <w:p w:rsidR="00000000" w:rsidDel="00000000" w:rsidP="00000000" w:rsidRDefault="00000000" w:rsidRPr="00000000" w14:paraId="0000000E">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(e)</w:t>
            </w:r>
          </w:p>
        </w:tc>
        <w:tc>
          <w:tcPr>
            <w:vAlign w:val="top"/>
          </w:tcPr>
          <w:p w:rsidR="00000000" w:rsidDel="00000000" w:rsidP="00000000" w:rsidRDefault="00000000" w:rsidRPr="00000000" w14:paraId="0000000F">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state whether exceptional circumstances exist requiring an expedited hearing or process.</w:t>
            </w:r>
          </w:p>
        </w:tc>
      </w:tr>
    </w:tbl>
    <w:p w:rsidR="00000000" w:rsidDel="00000000" w:rsidP="00000000" w:rsidRDefault="00000000" w:rsidRPr="00000000" w14:paraId="00000010">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1">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This template document should be downloaded for use.  The format is designed to be used as an </w:t>
      </w:r>
      <w:r w:rsidDel="00000000" w:rsidR="00000000" w:rsidRPr="00000000">
        <w:rPr>
          <w:rFonts w:ascii="Arial Narrow" w:cs="Arial Narrow" w:eastAsia="Arial Narrow" w:hAnsi="Arial Narrow"/>
          <w:rtl w:val="0"/>
        </w:rPr>
        <w:t xml:space="preserve">email</w:t>
      </w:r>
      <w:r w:rsidDel="00000000" w:rsidR="00000000" w:rsidRPr="00000000">
        <w:rPr>
          <w:rFonts w:ascii="Arial Narrow" w:cs="Arial Narrow" w:eastAsia="Arial Narrow" w:hAnsi="Arial Narrow"/>
          <w:vertAlign w:val="baseline"/>
          <w:rtl w:val="0"/>
        </w:rPr>
        <w:t xml:space="preserve"> but may be adjusted into letter format.  Text in bold should be considered the essential framework of the Notice.  This preamble and all guidance information in the template should be deleted before submitting a completed Notice to the Secretary.</w:t>
      </w:r>
    </w:p>
    <w:p w:rsidR="00000000" w:rsidDel="00000000" w:rsidP="00000000" w:rsidRDefault="00000000" w:rsidRPr="00000000" w14:paraId="00000012">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3">
      <w:pPr>
        <w:jc w:val="center"/>
        <w:rPr>
          <w:rFonts w:ascii="Arial Narrow" w:cs="Arial Narrow" w:eastAsia="Arial Narrow" w:hAnsi="Arial Narrow"/>
          <w:b w:val="0"/>
          <w:sz w:val="28"/>
          <w:szCs w:val="28"/>
          <w:u w:val="single"/>
          <w:vertAlign w:val="baseline"/>
        </w:rPr>
      </w:pPr>
      <w:r w:rsidDel="00000000" w:rsidR="00000000" w:rsidRPr="00000000">
        <w:rPr>
          <w:rFonts w:ascii="Arial Narrow" w:cs="Arial Narrow" w:eastAsia="Arial Narrow" w:hAnsi="Arial Narrow"/>
          <w:b w:val="1"/>
          <w:sz w:val="28"/>
          <w:szCs w:val="28"/>
          <w:u w:val="single"/>
          <w:vertAlign w:val="baseline"/>
          <w:rtl w:val="0"/>
        </w:rPr>
        <w:t xml:space="preserve">The template</w:t>
      </w:r>
      <w:r w:rsidDel="00000000" w:rsidR="00000000" w:rsidRPr="00000000">
        <w:rPr>
          <w:rtl w:val="0"/>
        </w:rPr>
      </w:r>
    </w:p>
    <w:p w:rsidR="00000000" w:rsidDel="00000000" w:rsidP="00000000" w:rsidRDefault="00000000" w:rsidRPr="00000000" w14:paraId="00000014">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5">
      <w:pPr>
        <w:jc w:val="cente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[Title]  </w:t>
      </w:r>
      <w:r w:rsidDel="00000000" w:rsidR="00000000" w:rsidRPr="00000000">
        <w:rPr>
          <w:rFonts w:ascii="Arial Narrow" w:cs="Arial Narrow" w:eastAsia="Arial Narrow" w:hAnsi="Arial Narrow"/>
          <w:b w:val="1"/>
          <w:vertAlign w:val="baseline"/>
          <w:rtl w:val="0"/>
        </w:rPr>
        <w:t xml:space="preserve">Notice of Dispute</w:t>
      </w:r>
      <w:r w:rsidDel="00000000" w:rsidR="00000000" w:rsidRPr="00000000">
        <w:rPr>
          <w:rtl w:val="0"/>
        </w:rPr>
      </w:r>
    </w:p>
    <w:p w:rsidR="00000000" w:rsidDel="00000000" w:rsidP="00000000" w:rsidRDefault="00000000" w:rsidRPr="00000000" w14:paraId="00000016">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7">
      <w:pPr>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On behalf of</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i w:val="1"/>
          <w:vertAlign w:val="baseline"/>
          <w:rtl w:val="0"/>
        </w:rPr>
        <w:t xml:space="preserve">insert legal name and registered company number of party bringing the dispute</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b w:val="1"/>
          <w:vertAlign w:val="baseline"/>
          <w:rtl w:val="0"/>
        </w:rPr>
        <w:t xml:space="preserve">and pursuant to</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i w:val="1"/>
          <w:vertAlign w:val="baseline"/>
          <w:rtl w:val="0"/>
        </w:rPr>
        <w:t xml:space="preserve">state name of the contract, relevant contractual clause under which the dispute reference is made (or other basis for referring the dispute</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b w:val="1"/>
          <w:vertAlign w:val="baseline"/>
          <w:rtl w:val="0"/>
        </w:rPr>
        <w:t xml:space="preserve">I give Notice of Dispute with</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i w:val="1"/>
          <w:vertAlign w:val="baseline"/>
          <w:rtl w:val="0"/>
        </w:rPr>
        <w:t xml:space="preserve">state legal name(s) of other party/ies</w:t>
      </w:r>
      <w:r w:rsidDel="00000000" w:rsidR="00000000" w:rsidRPr="00000000">
        <w:rPr>
          <w:rFonts w:ascii="Arial Narrow" w:cs="Arial Narrow" w:eastAsia="Arial Narrow" w:hAnsi="Arial Narrow"/>
          <w:vertAlign w:val="baseline"/>
          <w:rtl w:val="0"/>
        </w:rPr>
        <w:t xml:space="preserve">]</w:t>
      </w:r>
      <w:r w:rsidDel="00000000" w:rsidR="00000000" w:rsidRPr="00000000">
        <w:rPr>
          <w:rFonts w:ascii="Arial Narrow" w:cs="Arial Narrow" w:eastAsia="Arial Narrow" w:hAnsi="Arial Narrow"/>
          <w:b w:val="1"/>
          <w:vertAlign w:val="baseline"/>
          <w:rtl w:val="0"/>
        </w:rPr>
        <w:t xml:space="preserve"> in relation to</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i w:val="1"/>
          <w:vertAlign w:val="baseline"/>
          <w:rtl w:val="0"/>
        </w:rPr>
        <w:t xml:space="preserve">indicate subject matter, e.g. “Network Change Notice No. 123”</w:t>
      </w:r>
      <w:r w:rsidDel="00000000" w:rsidR="00000000" w:rsidRPr="00000000">
        <w:rPr>
          <w:rFonts w:ascii="Arial Narrow" w:cs="Arial Narrow" w:eastAsia="Arial Narrow" w:hAnsi="Arial Narrow"/>
          <w:vertAlign w:val="baseline"/>
          <w:rtl w:val="0"/>
        </w:rPr>
        <w:t xml:space="preserve">]</w:t>
      </w:r>
      <w:r w:rsidDel="00000000" w:rsidR="00000000" w:rsidRPr="00000000">
        <w:rPr>
          <w:rFonts w:ascii="Arial Narrow" w:cs="Arial Narrow" w:eastAsia="Arial Narrow" w:hAnsi="Arial Narrow"/>
          <w:b w:val="1"/>
          <w:vertAlign w:val="baseline"/>
          <w:rtl w:val="0"/>
        </w:rPr>
        <w:t xml:space="preserve">.</w:t>
      </w:r>
      <w:r w:rsidDel="00000000" w:rsidR="00000000" w:rsidRPr="00000000">
        <w:rPr>
          <w:rtl w:val="0"/>
        </w:rPr>
      </w:r>
    </w:p>
    <w:p w:rsidR="00000000" w:rsidDel="00000000" w:rsidP="00000000" w:rsidRDefault="00000000" w:rsidRPr="00000000" w14:paraId="00000018">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9">
      <w:pPr>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This dispute is brought on the basis that</w:t>
      </w:r>
      <w:r w:rsidDel="00000000" w:rsidR="00000000" w:rsidRPr="00000000">
        <w:rPr>
          <w:rFonts w:ascii="Arial Narrow" w:cs="Arial Narrow" w:eastAsia="Arial Narrow" w:hAnsi="Arial Narrow"/>
          <w:vertAlign w:val="baseline"/>
          <w:rtl w:val="0"/>
        </w:rPr>
        <w:t xml:space="preserve"> [summarise the issues]</w:t>
      </w:r>
      <w:r w:rsidDel="00000000" w:rsidR="00000000" w:rsidRPr="00000000">
        <w:rPr>
          <w:rFonts w:ascii="Arial Narrow" w:cs="Arial Narrow" w:eastAsia="Arial Narrow" w:hAnsi="Arial Narrow"/>
          <w:b w:val="1"/>
          <w:vertAlign w:val="baseline"/>
          <w:rtl w:val="0"/>
        </w:rPr>
        <w:t xml:space="preserve">.</w:t>
      </w:r>
      <w:r w:rsidDel="00000000" w:rsidR="00000000" w:rsidRPr="00000000">
        <w:rPr>
          <w:rtl w:val="0"/>
        </w:rPr>
      </w:r>
    </w:p>
    <w:p w:rsidR="00000000" w:rsidDel="00000000" w:rsidP="00000000" w:rsidRDefault="00000000" w:rsidRPr="00000000" w14:paraId="0000001A">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B">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[Then state one of:-]</w:t>
      </w:r>
    </w:p>
    <w:p w:rsidR="00000000" w:rsidDel="00000000" w:rsidP="00000000" w:rsidRDefault="00000000" w:rsidRPr="00000000" w14:paraId="0000001C">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001D">
      <w:pPr>
        <w:ind w:left="36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  </w:t>
      </w:r>
      <w:r w:rsidDel="00000000" w:rsidR="00000000" w:rsidRPr="00000000">
        <w:rPr>
          <w:rFonts w:ascii="Arial Narrow" w:cs="Arial Narrow" w:eastAsia="Arial Narrow" w:hAnsi="Arial Narrow"/>
          <w:b w:val="1"/>
          <w:vertAlign w:val="baseline"/>
          <w:rtl w:val="0"/>
        </w:rPr>
        <w:t xml:space="preserve">We have agreed with the party/ies detailed above regarding the determination procedure and</w:t>
      </w: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01E">
      <w:pPr>
        <w:ind w:firstLine="72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  </w:t>
      </w:r>
      <w:r w:rsidDel="00000000" w:rsidR="00000000" w:rsidRPr="00000000">
        <w:rPr>
          <w:rFonts w:ascii="Arial Narrow" w:cs="Arial Narrow" w:eastAsia="Arial Narrow" w:hAnsi="Arial Narrow"/>
          <w:b w:val="1"/>
          <w:vertAlign w:val="baseline"/>
          <w:rtl w:val="0"/>
        </w:rPr>
        <w:t xml:space="preserve">a Procedure Agreement will follow </w:t>
      </w:r>
      <w:r w:rsidDel="00000000" w:rsidR="00000000" w:rsidRPr="00000000">
        <w:rPr>
          <w:rFonts w:ascii="Arial Narrow" w:cs="Arial Narrow" w:eastAsia="Arial Narrow" w:hAnsi="Arial Narrow"/>
          <w:vertAlign w:val="baseline"/>
          <w:rtl w:val="0"/>
        </w:rPr>
        <w:t xml:space="preserve">[or]</w:t>
      </w:r>
    </w:p>
    <w:p w:rsidR="00000000" w:rsidDel="00000000" w:rsidP="00000000" w:rsidRDefault="00000000" w:rsidRPr="00000000" w14:paraId="0000001F">
      <w:pPr>
        <w:ind w:left="720" w:firstLine="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(ii)  </w:t>
      </w:r>
      <w:r w:rsidDel="00000000" w:rsidR="00000000" w:rsidRPr="00000000">
        <w:rPr>
          <w:rFonts w:ascii="Arial Narrow" w:cs="Arial Narrow" w:eastAsia="Arial Narrow" w:hAnsi="Arial Narrow"/>
          <w:b w:val="1"/>
          <w:vertAlign w:val="baseline"/>
          <w:rtl w:val="0"/>
        </w:rPr>
        <w:t xml:space="preserve">the Secretary is requested to draw up a Procedure Agreement on the following basis</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i w:val="1"/>
          <w:vertAlign w:val="baseline"/>
          <w:rtl w:val="0"/>
        </w:rPr>
        <w:t xml:space="preserve">insert the agreed stages</w:t>
      </w: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20">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0021">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or</w:t>
      </w:r>
    </w:p>
    <w:p w:rsidR="00000000" w:rsidDel="00000000" w:rsidP="00000000" w:rsidRDefault="00000000" w:rsidRPr="00000000" w14:paraId="00000022">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0023">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(b)  </w:t>
      </w:r>
      <w:r w:rsidDel="00000000" w:rsidR="00000000" w:rsidRPr="00000000">
        <w:rPr>
          <w:rFonts w:ascii="Arial Narrow" w:cs="Arial Narrow" w:eastAsia="Arial Narrow" w:hAnsi="Arial Narrow"/>
          <w:b w:val="1"/>
          <w:vertAlign w:val="baseline"/>
          <w:rtl w:val="0"/>
        </w:rPr>
        <w:t xml:space="preserve">The determination procedure preferred by</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i w:val="1"/>
          <w:vertAlign w:val="baseline"/>
          <w:rtl w:val="0"/>
        </w:rPr>
        <w:t xml:space="preserve">insert name of party bringing the dispute</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b w:val="1"/>
          <w:vertAlign w:val="baseline"/>
          <w:rtl w:val="0"/>
        </w:rPr>
        <w:t xml:space="preserve">is</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i w:val="1"/>
          <w:vertAlign w:val="baseline"/>
          <w:rtl w:val="0"/>
        </w:rPr>
        <w:t xml:space="preserve">insert the preferred stages</w:t>
      </w: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24">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5">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[Then state one of:-]</w:t>
      </w:r>
    </w:p>
    <w:p w:rsidR="00000000" w:rsidDel="00000000" w:rsidP="00000000" w:rsidRDefault="00000000" w:rsidRPr="00000000" w14:paraId="00000026">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0027">
      <w:pPr>
        <w:ind w:left="36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  </w:t>
      </w:r>
      <w:r w:rsidDel="00000000" w:rsidR="00000000" w:rsidRPr="00000000">
        <w:rPr>
          <w:rFonts w:ascii="Arial Narrow" w:cs="Arial Narrow" w:eastAsia="Arial Narrow" w:hAnsi="Arial Narrow"/>
          <w:b w:val="1"/>
          <w:vertAlign w:val="baseline"/>
          <w:rtl w:val="0"/>
        </w:rPr>
        <w:t xml:space="preserve">We are continuing discussions with the other party/ies and do not consider there to be requirement for the dispute resolution process to be expedited</w:t>
      </w:r>
      <w:r w:rsidDel="00000000" w:rsidR="00000000" w:rsidRPr="00000000">
        <w:rPr>
          <w:rtl w:val="0"/>
        </w:rPr>
      </w:r>
    </w:p>
    <w:p w:rsidR="00000000" w:rsidDel="00000000" w:rsidP="00000000" w:rsidRDefault="00000000" w:rsidRPr="00000000" w14:paraId="00000028">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0029">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or</w:t>
      </w:r>
    </w:p>
    <w:p w:rsidR="00000000" w:rsidDel="00000000" w:rsidP="00000000" w:rsidRDefault="00000000" w:rsidRPr="00000000" w14:paraId="0000002A">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002B">
      <w:pPr>
        <w:numPr>
          <w:ilvl w:val="0"/>
          <w:numId w:val="1"/>
        </w:numPr>
        <w:ind w:left="360" w:hanging="360"/>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We request that</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b w:val="1"/>
          <w:vertAlign w:val="baseline"/>
          <w:rtl w:val="0"/>
        </w:rPr>
        <w:t xml:space="preserve">the determination process be expedited because </w:t>
      </w:r>
      <w:r w:rsidDel="00000000" w:rsidR="00000000" w:rsidRPr="00000000">
        <w:rPr>
          <w:rFonts w:ascii="Arial Narrow" w:cs="Arial Narrow" w:eastAsia="Arial Narrow" w:hAnsi="Arial Narrow"/>
          <w:vertAlign w:val="baseline"/>
          <w:rtl w:val="0"/>
        </w:rPr>
        <w:t xml:space="preserve">[</w:t>
      </w:r>
      <w:r w:rsidDel="00000000" w:rsidR="00000000" w:rsidRPr="00000000">
        <w:rPr>
          <w:rFonts w:ascii="Arial Narrow" w:cs="Arial Narrow" w:eastAsia="Arial Narrow" w:hAnsi="Arial Narrow"/>
          <w:i w:val="1"/>
          <w:vertAlign w:val="baseline"/>
          <w:rtl w:val="0"/>
        </w:rPr>
        <w:t xml:space="preserve">insert exceptional circumstances or reasons for urgent progression</w:t>
      </w: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2C">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D">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[Then state one of:-]</w:t>
      </w:r>
    </w:p>
    <w:p w:rsidR="00000000" w:rsidDel="00000000" w:rsidP="00000000" w:rsidRDefault="00000000" w:rsidRPr="00000000" w14:paraId="0000002E">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F">
      <w:pPr>
        <w:tabs>
          <w:tab w:val="left" w:pos="360"/>
        </w:tabs>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w:t>
        <w:tab/>
      </w:r>
      <w:r w:rsidDel="00000000" w:rsidR="00000000" w:rsidRPr="00000000">
        <w:rPr>
          <w:rFonts w:ascii="Arial Narrow" w:cs="Arial Narrow" w:eastAsia="Arial Narrow" w:hAnsi="Arial Narrow"/>
          <w:b w:val="1"/>
          <w:vertAlign w:val="baseline"/>
          <w:rtl w:val="0"/>
        </w:rPr>
        <w:t xml:space="preserve">Parties which might be concerned with this matter other than as a Dispute Party are</w:t>
      </w: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030">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1">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i w:val="1"/>
          <w:vertAlign w:val="baseline"/>
          <w:rtl w:val="0"/>
        </w:rPr>
        <w:t xml:space="preserve">or</w:t>
      </w:r>
      <w:r w:rsidDel="00000000" w:rsidR="00000000" w:rsidRPr="00000000">
        <w:rPr>
          <w:rtl w:val="0"/>
        </w:rPr>
      </w:r>
    </w:p>
    <w:p w:rsidR="00000000" w:rsidDel="00000000" w:rsidP="00000000" w:rsidRDefault="00000000" w:rsidRPr="00000000" w14:paraId="00000032">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3">
      <w:pPr>
        <w:tabs>
          <w:tab w:val="left" w:pos="360"/>
        </w:tabs>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w:t>
        <w:tab/>
      </w:r>
      <w:r w:rsidDel="00000000" w:rsidR="00000000" w:rsidRPr="00000000">
        <w:rPr>
          <w:rFonts w:ascii="Arial Narrow" w:cs="Arial Narrow" w:eastAsia="Arial Narrow" w:hAnsi="Arial Narrow"/>
          <w:b w:val="1"/>
          <w:vertAlign w:val="baseline"/>
          <w:rtl w:val="0"/>
        </w:rPr>
        <w:t xml:space="preserve">We are not aware of any other Party which might be concerned with this matter.</w:t>
      </w:r>
      <w:r w:rsidDel="00000000" w:rsidR="00000000" w:rsidRPr="00000000">
        <w:rPr>
          <w:rtl w:val="0"/>
        </w:rPr>
      </w:r>
    </w:p>
    <w:p w:rsidR="00000000" w:rsidDel="00000000" w:rsidP="00000000" w:rsidRDefault="00000000" w:rsidRPr="00000000" w14:paraId="00000034">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5">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6">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r w:rsidDel="00000000" w:rsidR="00000000" w:rsidRPr="00000000">
        <w:rPr>
          <w:rFonts w:ascii="Arial Narrow" w:cs="Arial Narrow" w:eastAsia="Arial Narrow" w:hAnsi="Arial Narrow"/>
          <w:i w:val="1"/>
          <w:vertAlign w:val="baseline"/>
          <w:rtl w:val="0"/>
        </w:rPr>
        <w:t xml:space="preserve">Indicate who will deal with the matter on behalf of the referring party if it is not to be to person signing off the Notice of Dispute</w:t>
      </w: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37">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8">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9">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[Sign off]</w:t>
      </w:r>
    </w:p>
    <w:p w:rsidR="00000000" w:rsidDel="00000000" w:rsidP="00000000" w:rsidRDefault="00000000" w:rsidRPr="00000000" w14:paraId="0000003A">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Name …………………………………….</w:t>
      </w:r>
    </w:p>
    <w:p w:rsidR="00000000" w:rsidDel="00000000" w:rsidP="00000000" w:rsidRDefault="00000000" w:rsidRPr="00000000" w14:paraId="0000003B">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Job title ………………………………………..</w:t>
      </w:r>
    </w:p>
    <w:p w:rsidR="00000000" w:rsidDel="00000000" w:rsidP="00000000" w:rsidRDefault="00000000" w:rsidRPr="00000000" w14:paraId="0000003C">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 ……………………………………….. Limited</w:t>
      </w:r>
    </w:p>
    <w:p w:rsidR="00000000" w:rsidDel="00000000" w:rsidP="00000000" w:rsidRDefault="00000000" w:rsidRPr="00000000" w14:paraId="0000003D">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Telephone ………………………….</w:t>
      </w:r>
    </w:p>
    <w:p w:rsidR="00000000" w:rsidDel="00000000" w:rsidP="00000000" w:rsidRDefault="00000000" w:rsidRPr="00000000" w14:paraId="0000003E">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Fax ………………………………….</w:t>
      </w:r>
    </w:p>
    <w:p w:rsidR="00000000" w:rsidDel="00000000" w:rsidP="00000000" w:rsidRDefault="00000000" w:rsidRPr="00000000" w14:paraId="0000003F">
      <w:pPr>
        <w:rPr>
          <w:vertAlign w:val="baseline"/>
        </w:rPr>
      </w:pPr>
      <w:r w:rsidDel="00000000" w:rsidR="00000000" w:rsidRPr="00000000">
        <w:rPr>
          <w:rFonts w:ascii="Arial Narrow" w:cs="Arial Narrow" w:eastAsia="Arial Narrow" w:hAnsi="Arial Narrow"/>
          <w:vertAlign w:val="baseline"/>
          <w:rtl w:val="0"/>
        </w:rPr>
        <w:t xml:space="preserve">e-mail ……………………………………………</w:t>
      </w: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rtl w:val="0"/>
        </w:rPr>
      </w:r>
    </w:p>
    <w:sectPr>
      <w:pgSz w:h="15840" w:w="12240" w:orient="portrait"/>
      <w:pgMar w:bottom="1134" w:top="1134" w:left="1797" w:right="179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Level1">
    <w:name w:val="Level 1"/>
    <w:basedOn w:val="Normal"/>
    <w:next w:val="Level1"/>
    <w:autoRedefine w:val="0"/>
    <w:hidden w:val="0"/>
    <w:qFormat w:val="0"/>
    <w:pPr>
      <w:numPr>
        <w:ilvl w:val="0"/>
        <w:numId w:val="1"/>
      </w:numPr>
      <w:suppressAutoHyphens w:val="1"/>
      <w:spacing w:after="220" w:line="1" w:lineRule="atLeast"/>
      <w:ind w:leftChars="-1" w:rightChars="0" w:firstLineChars="-1"/>
      <w:jc w:val="both"/>
      <w:textDirection w:val="btLr"/>
      <w:textAlignment w:val="top"/>
      <w:outlineLvl w:val="0"/>
    </w:pPr>
    <w:rPr>
      <w:w w:val="100"/>
      <w:position w:val="-1"/>
      <w:sz w:val="22"/>
      <w:szCs w:val="24"/>
      <w:effect w:val="none"/>
      <w:vertAlign w:val="baseline"/>
      <w:cs w:val="0"/>
      <w:em w:val="none"/>
      <w:lang w:bidi="ar-SA" w:eastAsia="en-GB" w:val="en-GB"/>
    </w:rPr>
  </w:style>
  <w:style w:type="paragraph" w:styleId="Level2">
    <w:name w:val="Level 2"/>
    <w:basedOn w:val="Normal"/>
    <w:next w:val="Level2"/>
    <w:autoRedefine w:val="0"/>
    <w:hidden w:val="0"/>
    <w:qFormat w:val="0"/>
    <w:pPr>
      <w:numPr>
        <w:ilvl w:val="1"/>
        <w:numId w:val="1"/>
      </w:numPr>
      <w:suppressAutoHyphens w:val="1"/>
      <w:spacing w:after="220" w:line="1" w:lineRule="atLeast"/>
      <w:ind w:leftChars="-1" w:rightChars="0" w:firstLineChars="-1"/>
      <w:jc w:val="both"/>
      <w:textDirection w:val="btLr"/>
      <w:textAlignment w:val="top"/>
      <w:outlineLvl w:val="1"/>
    </w:pPr>
    <w:rPr>
      <w:w w:val="100"/>
      <w:position w:val="-1"/>
      <w:sz w:val="22"/>
      <w:szCs w:val="24"/>
      <w:effect w:val="none"/>
      <w:vertAlign w:val="baseline"/>
      <w:cs w:val="0"/>
      <w:em w:val="none"/>
      <w:lang w:bidi="ar-SA" w:eastAsia="en-GB" w:val="en-GB"/>
    </w:rPr>
  </w:style>
  <w:style w:type="paragraph" w:styleId="Level3">
    <w:name w:val="Level 3"/>
    <w:basedOn w:val="Normal"/>
    <w:next w:val="Level3"/>
    <w:autoRedefine w:val="0"/>
    <w:hidden w:val="0"/>
    <w:qFormat w:val="0"/>
    <w:pPr>
      <w:numPr>
        <w:ilvl w:val="2"/>
        <w:numId w:val="1"/>
      </w:numPr>
      <w:tabs>
        <w:tab w:val="clear" w:pos="1260"/>
        <w:tab w:val="num" w:leader="none" w:pos="1440"/>
      </w:tabs>
      <w:suppressAutoHyphens w:val="1"/>
      <w:spacing w:after="220" w:line="1" w:lineRule="atLeast"/>
      <w:ind w:left="1440" w:leftChars="-1" w:rightChars="0" w:firstLineChars="-1"/>
      <w:jc w:val="both"/>
      <w:textDirection w:val="btLr"/>
      <w:textAlignment w:val="top"/>
      <w:outlineLvl w:val="2"/>
    </w:pPr>
    <w:rPr>
      <w:w w:val="100"/>
      <w:position w:val="-1"/>
      <w:sz w:val="22"/>
      <w:szCs w:val="24"/>
      <w:effect w:val="none"/>
      <w:vertAlign w:val="baseline"/>
      <w:cs w:val="0"/>
      <w:em w:val="none"/>
      <w:lang w:bidi="ar-SA" w:eastAsia="en-GB" w:val="en-GB"/>
    </w:rPr>
  </w:style>
  <w:style w:type="paragraph" w:styleId="Level4">
    <w:name w:val="Level 4"/>
    <w:basedOn w:val="Normal"/>
    <w:next w:val="Level4"/>
    <w:autoRedefine w:val="0"/>
    <w:hidden w:val="0"/>
    <w:qFormat w:val="0"/>
    <w:pPr>
      <w:numPr>
        <w:ilvl w:val="3"/>
        <w:numId w:val="1"/>
      </w:numPr>
      <w:suppressAutoHyphens w:val="1"/>
      <w:spacing w:after="220" w:line="1" w:lineRule="atLeast"/>
      <w:ind w:leftChars="-1" w:rightChars="0" w:firstLineChars="-1"/>
      <w:jc w:val="both"/>
      <w:textDirection w:val="btLr"/>
      <w:textAlignment w:val="top"/>
      <w:outlineLvl w:val="3"/>
    </w:pPr>
    <w:rPr>
      <w:w w:val="100"/>
      <w:position w:val="-1"/>
      <w:sz w:val="22"/>
      <w:szCs w:val="24"/>
      <w:effect w:val="none"/>
      <w:vertAlign w:val="baseline"/>
      <w:cs w:val="0"/>
      <w:em w:val="none"/>
      <w:lang w:bidi="ar-SA" w:eastAsia="en-GB" w:val="en-GB"/>
    </w:rPr>
  </w:style>
  <w:style w:type="paragraph" w:styleId="Level5">
    <w:name w:val="Level 5"/>
    <w:basedOn w:val="Normal"/>
    <w:next w:val="Level5"/>
    <w:autoRedefine w:val="0"/>
    <w:hidden w:val="0"/>
    <w:qFormat w:val="0"/>
    <w:pPr>
      <w:numPr>
        <w:ilvl w:val="4"/>
        <w:numId w:val="1"/>
      </w:numPr>
      <w:suppressAutoHyphens w:val="1"/>
      <w:spacing w:after="220" w:line="1" w:lineRule="atLeast"/>
      <w:ind w:leftChars="-1" w:rightChars="0" w:firstLineChars="-1"/>
      <w:jc w:val="both"/>
      <w:textDirection w:val="btLr"/>
      <w:textAlignment w:val="top"/>
      <w:outlineLvl w:val="4"/>
    </w:pPr>
    <w:rPr>
      <w:w w:val="100"/>
      <w:position w:val="-1"/>
      <w:sz w:val="22"/>
      <w:szCs w:val="24"/>
      <w:effect w:val="none"/>
      <w:vertAlign w:val="baseline"/>
      <w:cs w:val="0"/>
      <w:em w:val="none"/>
      <w:lang w:bidi="ar-SA" w:eastAsia="en-GB" w:val="en-GB"/>
    </w:rPr>
  </w:style>
  <w:style w:type="paragraph" w:styleId="Level6">
    <w:name w:val="Level 6"/>
    <w:basedOn w:val="Normal"/>
    <w:next w:val="Level6"/>
    <w:autoRedefine w:val="0"/>
    <w:hidden w:val="0"/>
    <w:qFormat w:val="0"/>
    <w:pPr>
      <w:numPr>
        <w:ilvl w:val="5"/>
        <w:numId w:val="1"/>
      </w:numPr>
      <w:suppressAutoHyphens w:val="1"/>
      <w:spacing w:after="220" w:line="1" w:lineRule="atLeast"/>
      <w:ind w:leftChars="-1" w:rightChars="0" w:firstLineChars="-1"/>
      <w:jc w:val="both"/>
      <w:textDirection w:val="btLr"/>
      <w:textAlignment w:val="top"/>
      <w:outlineLvl w:val="5"/>
    </w:pPr>
    <w:rPr>
      <w:w w:val="100"/>
      <w:position w:val="-1"/>
      <w:sz w:val="22"/>
      <w:szCs w:val="24"/>
      <w:effect w:val="none"/>
      <w:vertAlign w:val="baseline"/>
      <w:cs w:val="0"/>
      <w:em w:val="none"/>
      <w:lang w:bidi="ar-SA"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SN3hzGqtF+yHZh7NsZmpQxAmEA==">AMUW2mW3H3a/UCW314bsqL15kfuRMRqins5QlcDxp/xKUYvkuQTYo8ykwVkhjp7EJL6KV1bk3CG1auiqPJ+FCpm1Ydo1LqlsWRdEIYVTU6glIAJZqIDd6lwd3xKaZl1dRgrBdckVs4m0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2010-12-08T15:01:00Z</dcterms:created>
  <dc:creator>Tony  Skilton</dc:creator>
</cp:coreProperties>
</file>