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TTP1248 – Statement of Interested Party – Transport for London</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Transport for London (TfL) is an Access Beneficiary by means of the Crossrail Track Access Option 2008 (amended 2014) which provides rights for Crossrail services including those operating between Paddington and Maidenhead on the routes referred to in Reference TTP1248 submitted by Great Western Railway (GWR). At the present time the rights in the Track Access Option (TAO) are in the process of being drawn down into an Access Agreement between MTR Corporation and Network Rail but this agreement has yet to be approved by the Office of Rail and Road.</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TfL is concerned that the amendments proposed by GWR will result in both programme delay and substantial additional cost to the works required to enhance stations on the route to facilitate the introduction of Elizabeth Line services in December 2019. These works include the provision of step free access at all stations served by the Elizabeth Line, platform extensions to accommodate the longer trains being introduced, the new Driver Only Operation CCTV equipment and general station upgrades. Much of this work can only be delivered by means of possessions of the relevant lines.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 Rail has indicated in its Defendant Statement the additional costs and potential time delays that would be incurred in delivering these works if GWR’s proposals were endorsed by the Panel. TfL would also incur additional costs and programme delay if its works at Hanwell, Iver, Langley and Taplow were to be impacted by a reduction in possession durations.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TfL does not agree with GWR’s assessment of the applicability of Decision Criteria in this case. In particular TfL does not believe that GWR has given sufficient weighting to 4.6.2(a) of the Network Code part D which refers to “maintaining, developing and improving the capability of the Network” The possession durations are necessary to deliver the very substantial benefits that will accrue from improvements to the stations and the ability to introduce significant capacity enhancement with the opening of the full Elizabeth Line service in December 2019. Para 4.6.2(f) is also relevant in that the changes to the possessions sought by GWR will extend the time required to undertake the works which will directly impact the commercial interests of TfL both through the contract costs of works to those stations directly funded by TfL and substantial loss of revenue if Elizabeth Line services cannot be launched in full in December 2019.</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 Rail’s Statement of Defence refers to the increased capacity of the new train fleet being operated by GWR which will provide some mitigation on the crowding levels referred to in GWR’s statement and which does not appear to have been taken into account.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TfL welcomes Network Rail’s commitment to providing full access at the beginning of the Subsidiary Timetable Period in May 2019</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TfL therefore supports Network Rail’s submission that the possession periods sought in the Principal Timetable 2019 (December 2018 to May 2019 period) are both necessary and crucial to delivering the final stage of the benefits that will be realised with the commencement of Elizabeth Line services in December 2019. We therefore seek the Panel’s support for this position.</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Paul Richardson</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Service Delivery Manager</w:t>
      </w:r>
    </w:p>
    <w:p w:rsidR="00000000" w:rsidDel="00000000" w:rsidP="00000000" w:rsidRDefault="00000000" w:rsidRPr="00000000" w14:paraId="0000000D">
      <w:pPr>
        <w:spacing w:after="0" w:line="24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Rail for London</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Crossrail</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81AF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239B5ulk6SAmEX413+mh1jltw==">CgMxLjAyCGguZ2pkZ3hzMgloLjMwajB6bGw4AHIhMWo1amZqQmhSUU1wdmF2UU1GaC10ZHQ2bG1scXJiRERz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2018-05-18T14:16:00Z</dcterms:created>
  <dc:creator>PaulRichardson</dc:creator>
</cp:coreProperties>
</file>