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5F593" w14:textId="77777777" w:rsidR="006915FE" w:rsidRPr="00B47061" w:rsidRDefault="00282B5E" w:rsidP="006915FE">
      <w:pPr>
        <w:rPr>
          <w:rFonts w:ascii="Arial Narrow" w:hAnsi="Arial Narrow"/>
          <w:sz w:val="20"/>
          <w:szCs w:val="20"/>
        </w:rPr>
      </w:pPr>
      <w:r w:rsidRPr="00B47061">
        <w:rPr>
          <w:rFonts w:ascii="Arial Narrow" w:hAnsi="Arial Narrow"/>
          <w:sz w:val="20"/>
          <w:szCs w:val="20"/>
        </w:rPr>
        <w:drawing>
          <wp:anchor distT="0" distB="0" distL="114300" distR="114300" simplePos="0" relativeHeight="251658240" behindDoc="0" locked="0" layoutInCell="1" allowOverlap="1" wp14:anchorId="49926DC3" wp14:editId="1189BE90">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E4E8DA" w14:textId="77777777" w:rsidR="007233F7" w:rsidRPr="00B47061" w:rsidRDefault="007233F7" w:rsidP="006915FE">
      <w:pPr>
        <w:rPr>
          <w:rFonts w:ascii="Arial Narrow" w:hAnsi="Arial Narrow"/>
          <w:sz w:val="20"/>
          <w:szCs w:val="20"/>
        </w:rPr>
      </w:pPr>
    </w:p>
    <w:p w14:paraId="41A5B858" w14:textId="77777777" w:rsidR="006F4714" w:rsidRPr="00B47061" w:rsidRDefault="006F4714" w:rsidP="0011044B">
      <w:pPr>
        <w:pStyle w:val="Body1"/>
        <w:spacing w:line="240" w:lineRule="atLeast"/>
        <w:rPr>
          <w:rFonts w:ascii="Arial Narrow" w:hAnsi="Arial Narrow" w:cs="Arial"/>
          <w:sz w:val="20"/>
          <w:u w:val="single"/>
        </w:rPr>
      </w:pPr>
      <w:bookmarkStart w:id="0" w:name="_Hlk31377705"/>
    </w:p>
    <w:p w14:paraId="7B7124F0" w14:textId="77777777" w:rsidR="006F4714" w:rsidRPr="00B47061" w:rsidRDefault="006F4714" w:rsidP="0011044B">
      <w:pPr>
        <w:pStyle w:val="Body1"/>
        <w:spacing w:line="240" w:lineRule="atLeast"/>
        <w:rPr>
          <w:rFonts w:ascii="Arial Narrow" w:hAnsi="Arial Narrow" w:cs="Arial"/>
          <w:color w:val="auto"/>
          <w:sz w:val="20"/>
          <w:u w:val="single"/>
        </w:rPr>
      </w:pPr>
    </w:p>
    <w:p w14:paraId="10F001F5" w14:textId="77777777" w:rsidR="006F4714" w:rsidRPr="00B47061" w:rsidRDefault="006F4714" w:rsidP="0011044B">
      <w:pPr>
        <w:pStyle w:val="Body1"/>
        <w:spacing w:line="240" w:lineRule="atLeast"/>
        <w:rPr>
          <w:rFonts w:ascii="Arial Narrow" w:hAnsi="Arial Narrow" w:cs="Arial"/>
          <w:color w:val="auto"/>
          <w:sz w:val="20"/>
          <w:u w:val="single"/>
        </w:rPr>
      </w:pPr>
    </w:p>
    <w:p w14:paraId="0D97EFE3" w14:textId="77777777" w:rsidR="006F4714" w:rsidRPr="00B47061" w:rsidRDefault="006F4714" w:rsidP="0011044B">
      <w:pPr>
        <w:pStyle w:val="Body1"/>
        <w:spacing w:line="240" w:lineRule="atLeast"/>
        <w:rPr>
          <w:rFonts w:ascii="Arial Narrow" w:hAnsi="Arial Narrow" w:cs="Arial"/>
          <w:color w:val="auto"/>
          <w:sz w:val="20"/>
          <w:u w:val="single"/>
        </w:rPr>
      </w:pPr>
    </w:p>
    <w:p w14:paraId="119E41E9" w14:textId="77777777" w:rsidR="006F4714" w:rsidRPr="00B47061" w:rsidRDefault="006F4714" w:rsidP="0011044B">
      <w:pPr>
        <w:pStyle w:val="Body1"/>
        <w:spacing w:line="240" w:lineRule="atLeast"/>
        <w:rPr>
          <w:rFonts w:ascii="Arial Narrow" w:hAnsi="Arial Narrow" w:cs="Arial"/>
          <w:color w:val="auto"/>
          <w:sz w:val="20"/>
          <w:u w:val="single"/>
        </w:rPr>
      </w:pPr>
    </w:p>
    <w:p w14:paraId="251B711D" w14:textId="1D9B71B7" w:rsidR="0011044B" w:rsidRPr="00B47061" w:rsidRDefault="0011044B" w:rsidP="2C918C48">
      <w:pPr>
        <w:pStyle w:val="Body1"/>
        <w:spacing w:line="240" w:lineRule="atLeast"/>
        <w:rPr>
          <w:rFonts w:ascii="Arial Narrow" w:hAnsi="Arial Narrow" w:cs="Arial"/>
          <w:b/>
          <w:bCs/>
          <w:color w:val="auto"/>
          <w:sz w:val="20"/>
          <w:u w:val="single"/>
        </w:rPr>
      </w:pPr>
      <w:r w:rsidRPr="00B47061">
        <w:rPr>
          <w:rFonts w:ascii="Arial Narrow" w:hAnsi="Arial Narrow" w:cs="Arial"/>
          <w:b/>
          <w:bCs/>
          <w:color w:val="auto"/>
          <w:sz w:val="20"/>
          <w:u w:val="single"/>
        </w:rPr>
        <w:t xml:space="preserve">Decision Criteria </w:t>
      </w:r>
      <w:r w:rsidR="001E614C" w:rsidRPr="00B47061">
        <w:rPr>
          <w:rFonts w:ascii="Arial Narrow" w:hAnsi="Arial Narrow" w:cs="Arial"/>
          <w:b/>
          <w:bCs/>
          <w:color w:val="auto"/>
          <w:sz w:val="20"/>
          <w:u w:val="single"/>
        </w:rPr>
        <w:t>Table</w:t>
      </w:r>
    </w:p>
    <w:p w14:paraId="28CF2620" w14:textId="77777777" w:rsidR="0011044B" w:rsidRPr="00B47061" w:rsidRDefault="0011044B" w:rsidP="0011044B">
      <w:pPr>
        <w:pStyle w:val="Body1"/>
        <w:spacing w:line="240" w:lineRule="atLeast"/>
        <w:rPr>
          <w:rFonts w:ascii="Arial Narrow" w:hAnsi="Arial Narrow" w:cs="Arial"/>
          <w:color w:val="auto"/>
          <w:sz w:val="20"/>
        </w:rPr>
      </w:pPr>
    </w:p>
    <w:p w14:paraId="6A0F328B" w14:textId="6412EF7C" w:rsidR="001D783E" w:rsidRPr="00B47061" w:rsidRDefault="001D783E" w:rsidP="009E062B">
      <w:pPr>
        <w:spacing w:after="0"/>
        <w:rPr>
          <w:rFonts w:ascii="Arial Narrow" w:hAnsi="Arial Narrow"/>
          <w:sz w:val="20"/>
          <w:szCs w:val="20"/>
        </w:rPr>
      </w:pPr>
    </w:p>
    <w:tbl>
      <w:tblPr>
        <w:tblW w:w="1420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13847"/>
      </w:tblGrid>
      <w:tr w:rsidR="00B47061" w:rsidRPr="00B47061" w14:paraId="48D5BC49" w14:textId="77777777" w:rsidTr="00B47061">
        <w:trPr>
          <w:trHeight w:val="315"/>
        </w:trPr>
        <w:tc>
          <w:tcPr>
            <w:tcW w:w="14207" w:type="dxa"/>
            <w:gridSpan w:val="2"/>
            <w:hideMark/>
          </w:tcPr>
          <w:p w14:paraId="49BF3EB7" w14:textId="03025A34" w:rsidR="001D783E" w:rsidRPr="00B47061" w:rsidRDefault="001D783E" w:rsidP="001D783E">
            <w:pPr>
              <w:spacing w:after="0" w:line="240" w:lineRule="auto"/>
              <w:textAlignment w:val="baseline"/>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 xml:space="preserve">Record of the application of Network Code Part D4.6 Decision Criteria in relation </w:t>
            </w:r>
            <w:r w:rsidR="003C6BE4" w:rsidRPr="00B47061">
              <w:rPr>
                <w:rFonts w:ascii="Arial Narrow" w:eastAsia="Times New Roman" w:hAnsi="Arial Narrow" w:cs="Segoe UI"/>
                <w:sz w:val="20"/>
                <w:szCs w:val="20"/>
                <w:lang w:eastAsia="en-GB"/>
              </w:rPr>
              <w:t>to:</w:t>
            </w:r>
          </w:p>
        </w:tc>
      </w:tr>
      <w:tr w:rsidR="00B47061" w:rsidRPr="00B47061" w14:paraId="47C53DCF" w14:textId="77777777" w:rsidTr="00B47061">
        <w:trPr>
          <w:trHeight w:val="345"/>
        </w:trPr>
        <w:tc>
          <w:tcPr>
            <w:tcW w:w="360" w:type="dxa"/>
            <w:hideMark/>
          </w:tcPr>
          <w:p w14:paraId="4AA51323" w14:textId="77777777" w:rsidR="001D783E" w:rsidRPr="00B47061" w:rsidRDefault="001D783E" w:rsidP="001D783E">
            <w:pPr>
              <w:spacing w:after="0" w:line="240" w:lineRule="auto"/>
              <w:jc w:val="right"/>
              <w:textAlignment w:val="baseline"/>
              <w:rPr>
                <w:rFonts w:ascii="Arial Narrow" w:eastAsia="Times New Roman" w:hAnsi="Arial Narrow" w:cs="Segoe UI"/>
                <w:sz w:val="20"/>
                <w:szCs w:val="20"/>
                <w:lang w:eastAsia="en-GB"/>
              </w:rPr>
            </w:pPr>
            <w:proofErr w:type="spellStart"/>
            <w:r w:rsidRPr="00B47061">
              <w:rPr>
                <w:rFonts w:ascii="Arial Narrow" w:eastAsia="Times New Roman" w:hAnsi="Arial Narrow" w:cs="Segoe UI"/>
                <w:sz w:val="20"/>
                <w:szCs w:val="20"/>
                <w:lang w:eastAsia="en-GB"/>
              </w:rPr>
              <w:t>i</w:t>
            </w:r>
            <w:proofErr w:type="spellEnd"/>
            <w:r w:rsidRPr="00B47061">
              <w:rPr>
                <w:rFonts w:ascii="Arial Narrow" w:eastAsia="Times New Roman" w:hAnsi="Arial Narrow" w:cs="Segoe UI"/>
                <w:sz w:val="20"/>
                <w:szCs w:val="20"/>
                <w:lang w:eastAsia="en-GB"/>
              </w:rPr>
              <w:t>) </w:t>
            </w:r>
          </w:p>
        </w:tc>
        <w:tc>
          <w:tcPr>
            <w:tcW w:w="13847" w:type="dxa"/>
            <w:hideMark/>
          </w:tcPr>
          <w:p w14:paraId="4B158C78" w14:textId="5772566C" w:rsidR="001D783E" w:rsidRPr="00B47061" w:rsidRDefault="2836B302" w:rsidP="0440A89B">
            <w:pPr>
              <w:spacing w:after="0" w:line="240" w:lineRule="auto"/>
              <w:textAlignment w:val="baseline"/>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Network Rails decision not to include the following Services requested by A</w:t>
            </w:r>
            <w:r w:rsidR="00F758BC" w:rsidRPr="00B47061">
              <w:rPr>
                <w:rFonts w:ascii="Arial Narrow" w:eastAsia="Times New Roman" w:hAnsi="Arial Narrow" w:cs="Segoe UI"/>
                <w:sz w:val="20"/>
                <w:szCs w:val="20"/>
                <w:lang w:eastAsia="en-GB"/>
              </w:rPr>
              <w:t>WC:</w:t>
            </w:r>
          </w:p>
          <w:p w14:paraId="6AF2BCAF" w14:textId="5FE9C581" w:rsidR="00F758BC" w:rsidRPr="00B47061" w:rsidRDefault="00F758BC" w:rsidP="00F758BC">
            <w:pPr>
              <w:pStyle w:val="ListParagraph"/>
              <w:numPr>
                <w:ilvl w:val="0"/>
                <w:numId w:val="15"/>
              </w:numPr>
              <w:spacing w:after="0"/>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1P92 0939 London Euston to Blackpool North SX</w:t>
            </w:r>
          </w:p>
          <w:p w14:paraId="7D3D81CD" w14:textId="77B79548" w:rsidR="00F758BC" w:rsidRPr="00B47061" w:rsidRDefault="00F758BC" w:rsidP="00F758BC">
            <w:pPr>
              <w:pStyle w:val="ListParagraph"/>
              <w:numPr>
                <w:ilvl w:val="0"/>
                <w:numId w:val="15"/>
              </w:numPr>
              <w:spacing w:after="0"/>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1A92 1252 Blackpool North to London Euston SX</w:t>
            </w:r>
          </w:p>
          <w:p w14:paraId="3BA99BF8" w14:textId="4781BC5F" w:rsidR="00F758BC" w:rsidRPr="00B47061" w:rsidRDefault="00F758BC" w:rsidP="00F758BC">
            <w:pPr>
              <w:pStyle w:val="ListParagraph"/>
              <w:numPr>
                <w:ilvl w:val="0"/>
                <w:numId w:val="15"/>
              </w:numPr>
              <w:spacing w:after="0"/>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1A78 1932 Chester to London Euston SX</w:t>
            </w:r>
          </w:p>
          <w:p w14:paraId="39DBFEA8" w14:textId="29B2DFC9" w:rsidR="001D783E" w:rsidRPr="00B47061" w:rsidRDefault="00F758BC" w:rsidP="00F758BC">
            <w:pPr>
              <w:pStyle w:val="ListParagraph"/>
              <w:numPr>
                <w:ilvl w:val="0"/>
                <w:numId w:val="15"/>
              </w:numPr>
              <w:spacing w:after="0"/>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1A70 1753 Holyhead to London Euston SUN</w:t>
            </w:r>
          </w:p>
        </w:tc>
      </w:tr>
      <w:tr w:rsidR="00B47061" w:rsidRPr="00B47061" w14:paraId="19F7FB34" w14:textId="77777777" w:rsidTr="00B47061">
        <w:trPr>
          <w:trHeight w:val="360"/>
        </w:trPr>
        <w:tc>
          <w:tcPr>
            <w:tcW w:w="360" w:type="dxa"/>
          </w:tcPr>
          <w:p w14:paraId="74E112AD" w14:textId="3B1DD85E" w:rsidR="00C049EA" w:rsidRPr="00B47061" w:rsidRDefault="00C049EA" w:rsidP="00C049EA">
            <w:pPr>
              <w:spacing w:after="0" w:line="240" w:lineRule="auto"/>
              <w:jc w:val="right"/>
              <w:textAlignment w:val="baseline"/>
              <w:rPr>
                <w:rFonts w:ascii="Arial Narrow" w:eastAsia="Times New Roman" w:hAnsi="Arial Narrow" w:cs="Segoe UI"/>
                <w:sz w:val="20"/>
                <w:szCs w:val="20"/>
                <w:lang w:eastAsia="en-GB"/>
              </w:rPr>
            </w:pPr>
          </w:p>
        </w:tc>
        <w:tc>
          <w:tcPr>
            <w:tcW w:w="13847" w:type="dxa"/>
          </w:tcPr>
          <w:p w14:paraId="799666F0" w14:textId="6B46711B" w:rsidR="00C049EA" w:rsidRPr="00B47061" w:rsidRDefault="00C049EA" w:rsidP="00C049EA">
            <w:pPr>
              <w:spacing w:after="0" w:line="240" w:lineRule="auto"/>
              <w:textAlignment w:val="baseline"/>
              <w:rPr>
                <w:rFonts w:ascii="Arial Narrow" w:eastAsia="Times New Roman" w:hAnsi="Arial Narrow" w:cs="Segoe UI"/>
                <w:sz w:val="20"/>
                <w:szCs w:val="20"/>
                <w:lang w:eastAsia="en-GB"/>
              </w:rPr>
            </w:pPr>
          </w:p>
        </w:tc>
      </w:tr>
      <w:tr w:rsidR="00B47061" w:rsidRPr="00B47061" w14:paraId="39C23B21" w14:textId="77777777" w:rsidTr="00B47061">
        <w:trPr>
          <w:trHeight w:val="360"/>
        </w:trPr>
        <w:tc>
          <w:tcPr>
            <w:tcW w:w="14207" w:type="dxa"/>
            <w:gridSpan w:val="2"/>
            <w:hideMark/>
          </w:tcPr>
          <w:p w14:paraId="596CB0A9" w14:textId="656B2957" w:rsidR="001D783E" w:rsidRPr="00B47061" w:rsidRDefault="001D783E" w:rsidP="001D783E">
            <w:pPr>
              <w:spacing w:after="0" w:line="240" w:lineRule="auto"/>
              <w:textAlignment w:val="baseline"/>
              <w:rPr>
                <w:rFonts w:ascii="Arial Narrow" w:eastAsia="Times New Roman" w:hAnsi="Arial Narrow" w:cs="Segoe UI"/>
                <w:sz w:val="20"/>
                <w:szCs w:val="20"/>
                <w:lang w:eastAsia="en-GB"/>
              </w:rPr>
            </w:pPr>
            <w:r w:rsidRPr="00B47061">
              <w:rPr>
                <w:rFonts w:ascii="Arial Narrow" w:eastAsia="Times New Roman" w:hAnsi="Arial Narrow" w:cs="Segoe UI"/>
                <w:sz w:val="20"/>
                <w:szCs w:val="20"/>
                <w:lang w:eastAsia="en-GB"/>
              </w:rPr>
              <w:t>During the development</w:t>
            </w:r>
            <w:r w:rsidR="0070605A" w:rsidRPr="00B47061">
              <w:rPr>
                <w:rFonts w:ascii="Arial Narrow" w:eastAsia="Times New Roman" w:hAnsi="Arial Narrow" w:cs="Segoe UI"/>
                <w:sz w:val="20"/>
                <w:szCs w:val="20"/>
                <w:lang w:eastAsia="en-GB"/>
              </w:rPr>
              <w:t xml:space="preserve"> o</w:t>
            </w:r>
            <w:r w:rsidR="19ABA892" w:rsidRPr="00B47061">
              <w:rPr>
                <w:rFonts w:ascii="Arial Narrow" w:eastAsia="Times New Roman" w:hAnsi="Arial Narrow" w:cs="Segoe UI"/>
                <w:sz w:val="20"/>
                <w:szCs w:val="20"/>
                <w:lang w:eastAsia="en-GB"/>
              </w:rPr>
              <w:t xml:space="preserve">f the December 2025 timetable. </w:t>
            </w:r>
          </w:p>
        </w:tc>
      </w:tr>
    </w:tbl>
    <w:p w14:paraId="558D73EF" w14:textId="05E58A96" w:rsidR="001D783E" w:rsidRPr="00B47061" w:rsidRDefault="001D783E" w:rsidP="009E062B">
      <w:pPr>
        <w:spacing w:after="0"/>
        <w:rPr>
          <w:rFonts w:ascii="Arial Narrow" w:hAnsi="Arial Narrow"/>
          <w:sz w:val="20"/>
          <w:szCs w:val="20"/>
        </w:rPr>
      </w:pPr>
    </w:p>
    <w:p w14:paraId="7A627BBE" w14:textId="3B935EC8" w:rsidR="004511D4" w:rsidRPr="00B47061" w:rsidRDefault="004511D4" w:rsidP="004511D4">
      <w:pPr>
        <w:pStyle w:val="Default"/>
        <w:rPr>
          <w:rFonts w:ascii="Arial Narrow" w:hAnsi="Arial Narrow"/>
          <w:color w:val="auto"/>
          <w:sz w:val="20"/>
          <w:szCs w:val="20"/>
        </w:rPr>
      </w:pPr>
      <w:r w:rsidRPr="00B47061">
        <w:rPr>
          <w:rFonts w:ascii="Arial Narrow" w:hAnsi="Arial Narrow"/>
          <w:color w:val="auto"/>
          <w:sz w:val="20"/>
          <w:szCs w:val="20"/>
        </w:rPr>
        <w:t xml:space="preserve">In making this decision, Network Rail has carefully considered its obligations under Part D of the Network Code, including the application of the Decision Criteria at </w:t>
      </w:r>
      <w:r w:rsidR="002D0573" w:rsidRPr="00B47061">
        <w:rPr>
          <w:rFonts w:ascii="Arial Narrow" w:hAnsi="Arial Narrow"/>
          <w:color w:val="auto"/>
          <w:sz w:val="20"/>
          <w:szCs w:val="20"/>
        </w:rPr>
        <w:t>Condition</w:t>
      </w:r>
      <w:r w:rsidRPr="00B47061">
        <w:rPr>
          <w:rFonts w:ascii="Arial Narrow" w:hAnsi="Arial Narrow"/>
          <w:color w:val="auto"/>
          <w:sz w:val="20"/>
          <w:szCs w:val="20"/>
        </w:rPr>
        <w:t xml:space="preserve"> D4.6.2 of Part D of the Network Code. The following table sets out Network Rail’s application of the Decision Criteria.</w:t>
      </w:r>
    </w:p>
    <w:p w14:paraId="2EA02C62" w14:textId="5765E080" w:rsidR="004511D4" w:rsidRPr="00B47061" w:rsidRDefault="004511D4" w:rsidP="004511D4">
      <w:pPr>
        <w:pStyle w:val="Default"/>
        <w:rPr>
          <w:rFonts w:ascii="Arial Narrow" w:hAnsi="Arial Narrow"/>
          <w:color w:val="auto"/>
          <w:sz w:val="20"/>
          <w:szCs w:val="20"/>
        </w:rPr>
      </w:pPr>
      <w:r w:rsidRPr="00B47061">
        <w:rPr>
          <w:rFonts w:ascii="Arial Narrow" w:hAnsi="Arial Narrow"/>
          <w:color w:val="auto"/>
          <w:sz w:val="20"/>
          <w:szCs w:val="20"/>
        </w:rPr>
        <w:t xml:space="preserve"> </w:t>
      </w:r>
    </w:p>
    <w:p w14:paraId="51D374F5" w14:textId="5E029DE8" w:rsidR="004511D4" w:rsidRPr="00B47061" w:rsidRDefault="004511D4" w:rsidP="004511D4">
      <w:pPr>
        <w:pStyle w:val="Default"/>
        <w:rPr>
          <w:rFonts w:ascii="Arial Narrow" w:hAnsi="Arial Narrow"/>
          <w:color w:val="auto"/>
          <w:sz w:val="20"/>
          <w:szCs w:val="20"/>
        </w:rPr>
      </w:pPr>
      <w:r w:rsidRPr="00B47061">
        <w:rPr>
          <w:rFonts w:ascii="Arial Narrow" w:hAnsi="Arial Narrow"/>
          <w:color w:val="auto"/>
          <w:sz w:val="20"/>
          <w:szCs w:val="20"/>
        </w:rPr>
        <w:t xml:space="preserve">In applying the Decision Criteria Network Rail has weighted the considerations using the below weighting: </w:t>
      </w:r>
    </w:p>
    <w:p w14:paraId="714BD974" w14:textId="77777777" w:rsidR="004511D4" w:rsidRPr="00B47061" w:rsidRDefault="004511D4" w:rsidP="004511D4">
      <w:pPr>
        <w:pStyle w:val="Default"/>
        <w:rPr>
          <w:rFonts w:ascii="Arial Narrow" w:hAnsi="Arial Narrow"/>
          <w:color w:val="auto"/>
          <w:sz w:val="20"/>
          <w:szCs w:val="20"/>
        </w:rPr>
      </w:pPr>
    </w:p>
    <w:p w14:paraId="383AAE2D" w14:textId="2570BE93" w:rsidR="004511D4" w:rsidRPr="00B47061" w:rsidRDefault="004511D4" w:rsidP="004511D4">
      <w:pPr>
        <w:pStyle w:val="Default"/>
        <w:rPr>
          <w:rFonts w:ascii="Arial Narrow" w:hAnsi="Arial Narrow"/>
          <w:color w:val="auto"/>
          <w:sz w:val="20"/>
          <w:szCs w:val="20"/>
        </w:rPr>
      </w:pPr>
      <w:r w:rsidRPr="00B47061">
        <w:rPr>
          <w:rFonts w:ascii="Arial Narrow" w:hAnsi="Arial Narrow"/>
          <w:color w:val="auto"/>
          <w:sz w:val="20"/>
          <w:szCs w:val="20"/>
        </w:rPr>
        <w:t xml:space="preserve">N/A - Not applicable in this case </w:t>
      </w:r>
    </w:p>
    <w:p w14:paraId="65AF1B19" w14:textId="7DC809B3" w:rsidR="004511D4" w:rsidRPr="00B47061" w:rsidRDefault="003C6BE4" w:rsidP="004511D4">
      <w:pPr>
        <w:pStyle w:val="Default"/>
        <w:rPr>
          <w:rFonts w:ascii="Arial Narrow" w:hAnsi="Arial Narrow"/>
          <w:color w:val="auto"/>
          <w:sz w:val="20"/>
          <w:szCs w:val="20"/>
        </w:rPr>
      </w:pPr>
      <w:r w:rsidRPr="00B47061">
        <w:rPr>
          <w:rFonts w:ascii="Arial Narrow" w:hAnsi="Arial Narrow"/>
          <w:color w:val="auto"/>
          <w:sz w:val="20"/>
          <w:szCs w:val="20"/>
        </w:rPr>
        <w:t>Low:</w:t>
      </w:r>
      <w:r w:rsidR="004511D4" w:rsidRPr="00B47061">
        <w:rPr>
          <w:rFonts w:ascii="Arial Narrow" w:hAnsi="Arial Narrow"/>
          <w:color w:val="auto"/>
          <w:sz w:val="20"/>
          <w:szCs w:val="20"/>
        </w:rPr>
        <w:t xml:space="preserve"> is relevant and of very low importance in this case</w:t>
      </w:r>
    </w:p>
    <w:p w14:paraId="43D0E00A" w14:textId="52DC0AE7" w:rsidR="004511D4" w:rsidRPr="00B47061" w:rsidRDefault="003C6BE4" w:rsidP="004511D4">
      <w:pPr>
        <w:pStyle w:val="Default"/>
        <w:rPr>
          <w:rFonts w:ascii="Arial Narrow" w:hAnsi="Arial Narrow"/>
          <w:color w:val="auto"/>
          <w:sz w:val="20"/>
          <w:szCs w:val="20"/>
        </w:rPr>
      </w:pPr>
      <w:r w:rsidRPr="00B47061">
        <w:rPr>
          <w:rFonts w:ascii="Arial Narrow" w:hAnsi="Arial Narrow"/>
          <w:color w:val="auto"/>
          <w:sz w:val="20"/>
          <w:szCs w:val="20"/>
        </w:rPr>
        <w:t>Medium:</w:t>
      </w:r>
      <w:r w:rsidR="004511D4" w:rsidRPr="00B47061">
        <w:rPr>
          <w:rFonts w:ascii="Arial Narrow" w:hAnsi="Arial Narrow"/>
          <w:color w:val="auto"/>
          <w:sz w:val="20"/>
          <w:szCs w:val="20"/>
        </w:rPr>
        <w:t xml:space="preserve"> is relevant and </w:t>
      </w:r>
      <w:r w:rsidR="00821033" w:rsidRPr="00B47061">
        <w:rPr>
          <w:rFonts w:ascii="Arial Narrow" w:hAnsi="Arial Narrow"/>
          <w:color w:val="auto"/>
          <w:sz w:val="20"/>
          <w:szCs w:val="20"/>
        </w:rPr>
        <w:t>of</w:t>
      </w:r>
      <w:r w:rsidR="004511D4" w:rsidRPr="00B47061">
        <w:rPr>
          <w:rFonts w:ascii="Arial Narrow" w:hAnsi="Arial Narrow"/>
          <w:color w:val="auto"/>
          <w:sz w:val="20"/>
          <w:szCs w:val="20"/>
        </w:rPr>
        <w:t xml:space="preserve"> </w:t>
      </w:r>
      <w:r w:rsidR="00821033" w:rsidRPr="00B47061">
        <w:rPr>
          <w:rFonts w:ascii="Arial Narrow" w:hAnsi="Arial Narrow"/>
          <w:color w:val="auto"/>
          <w:sz w:val="20"/>
          <w:szCs w:val="20"/>
        </w:rPr>
        <w:t>medium</w:t>
      </w:r>
      <w:r w:rsidR="004511D4" w:rsidRPr="00B47061">
        <w:rPr>
          <w:rFonts w:ascii="Arial Narrow" w:hAnsi="Arial Narrow"/>
          <w:color w:val="auto"/>
          <w:sz w:val="20"/>
          <w:szCs w:val="20"/>
        </w:rPr>
        <w:t xml:space="preserve"> importance in this case</w:t>
      </w:r>
    </w:p>
    <w:p w14:paraId="618EF181" w14:textId="707ABB24" w:rsidR="004511D4" w:rsidRPr="00B47061" w:rsidRDefault="003C6BE4" w:rsidP="004511D4">
      <w:pPr>
        <w:pStyle w:val="Default"/>
        <w:rPr>
          <w:rFonts w:ascii="Arial Narrow" w:hAnsi="Arial Narrow"/>
          <w:color w:val="auto"/>
          <w:sz w:val="20"/>
          <w:szCs w:val="20"/>
        </w:rPr>
      </w:pPr>
      <w:r w:rsidRPr="00B47061">
        <w:rPr>
          <w:rFonts w:ascii="Arial Narrow" w:hAnsi="Arial Narrow"/>
          <w:color w:val="auto"/>
          <w:sz w:val="20"/>
          <w:szCs w:val="20"/>
        </w:rPr>
        <w:t xml:space="preserve">High: </w:t>
      </w:r>
      <w:r w:rsidR="004511D4" w:rsidRPr="00B47061">
        <w:rPr>
          <w:rFonts w:ascii="Arial Narrow" w:hAnsi="Arial Narrow"/>
          <w:color w:val="auto"/>
          <w:sz w:val="20"/>
          <w:szCs w:val="20"/>
        </w:rPr>
        <w:t>is of high relevance and high importance in this case</w:t>
      </w:r>
    </w:p>
    <w:p w14:paraId="6045CA18" w14:textId="1104D51A" w:rsidR="009E062B" w:rsidRPr="00B47061" w:rsidRDefault="009E062B" w:rsidP="0011044B">
      <w:pPr>
        <w:pStyle w:val="Body1"/>
        <w:spacing w:line="240" w:lineRule="atLeast"/>
        <w:rPr>
          <w:rFonts w:ascii="Arial Narrow" w:hAnsi="Arial Narrow" w:cs="Arial"/>
          <w:color w:val="auto"/>
          <w:sz w:val="20"/>
        </w:rPr>
      </w:pP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3629"/>
        <w:gridCol w:w="1559"/>
        <w:gridCol w:w="1418"/>
        <w:gridCol w:w="3827"/>
        <w:gridCol w:w="3378"/>
      </w:tblGrid>
      <w:tr w:rsidR="00B47061" w:rsidRPr="00B47061" w14:paraId="2A103603" w14:textId="77777777" w:rsidTr="3A60622C">
        <w:trPr>
          <w:trHeight w:val="356"/>
        </w:trPr>
        <w:tc>
          <w:tcPr>
            <w:tcW w:w="14180" w:type="dxa"/>
            <w:gridSpan w:val="6"/>
            <w:noWrap/>
            <w:vAlign w:val="center"/>
            <w:hideMark/>
          </w:tcPr>
          <w:p w14:paraId="01836D99" w14:textId="71973E8E" w:rsidR="001D783E" w:rsidRPr="00B47061" w:rsidRDefault="001D783E" w:rsidP="001D783E">
            <w:pPr>
              <w:spacing w:after="0" w:line="240" w:lineRule="auto"/>
              <w:jc w:val="center"/>
              <w:rPr>
                <w:rFonts w:ascii="Arial Narrow" w:eastAsia="Times New Roman" w:hAnsi="Arial Narrow" w:cs="Arial"/>
                <w:b/>
                <w:sz w:val="20"/>
                <w:szCs w:val="20"/>
                <w:lang w:eastAsia="en-GB"/>
              </w:rPr>
            </w:pPr>
            <w:r w:rsidRPr="00B47061">
              <w:rPr>
                <w:rFonts w:ascii="Arial Narrow" w:hAnsi="Arial Narrow"/>
                <w:b/>
                <w:sz w:val="20"/>
                <w:szCs w:val="20"/>
                <w:lang w:eastAsia="en-GB"/>
              </w:rPr>
              <w:t>Decision Criteria</w:t>
            </w:r>
          </w:p>
        </w:tc>
      </w:tr>
      <w:tr w:rsidR="00B47061" w:rsidRPr="00B47061" w14:paraId="6DD5EA2C" w14:textId="77777777" w:rsidTr="3A60622C">
        <w:trPr>
          <w:trHeight w:val="600"/>
        </w:trPr>
        <w:tc>
          <w:tcPr>
            <w:tcW w:w="14180" w:type="dxa"/>
            <w:gridSpan w:val="6"/>
            <w:noWrap/>
          </w:tcPr>
          <w:p w14:paraId="66DEF01F" w14:textId="77777777" w:rsidR="006F4714" w:rsidRPr="00B47061" w:rsidRDefault="006F4714" w:rsidP="001D783E">
            <w:pPr>
              <w:autoSpaceDE w:val="0"/>
              <w:autoSpaceDN w:val="0"/>
              <w:spacing w:after="0" w:line="240" w:lineRule="auto"/>
              <w:jc w:val="center"/>
              <w:rPr>
                <w:rFonts w:ascii="Arial Narrow" w:hAnsi="Arial Narrow"/>
                <w:b/>
                <w:sz w:val="20"/>
                <w:szCs w:val="20"/>
                <w:lang w:eastAsia="en-GB"/>
              </w:rPr>
            </w:pPr>
          </w:p>
          <w:p w14:paraId="4036BA30" w14:textId="78042D25" w:rsidR="001D783E" w:rsidRPr="00B47061" w:rsidRDefault="001D783E" w:rsidP="001D783E">
            <w:pPr>
              <w:autoSpaceDE w:val="0"/>
              <w:autoSpaceDN w:val="0"/>
              <w:spacing w:after="0" w:line="240" w:lineRule="auto"/>
              <w:jc w:val="center"/>
              <w:rPr>
                <w:rFonts w:ascii="Arial Narrow" w:hAnsi="Arial Narrow"/>
                <w:b/>
                <w:sz w:val="20"/>
                <w:szCs w:val="20"/>
                <w:lang w:eastAsia="en-GB"/>
              </w:rPr>
            </w:pPr>
            <w:r w:rsidRPr="00B47061">
              <w:rPr>
                <w:rFonts w:ascii="Arial Narrow" w:hAnsi="Arial Narrow"/>
                <w:b/>
                <w:sz w:val="20"/>
                <w:szCs w:val="20"/>
                <w:lang w:eastAsia="en-GB"/>
              </w:rPr>
              <w:t>Objective (4.6.1)</w:t>
            </w:r>
          </w:p>
          <w:p w14:paraId="4A2F6AD2" w14:textId="77777777" w:rsidR="001D783E" w:rsidRPr="00B47061" w:rsidRDefault="001D783E" w:rsidP="001D783E">
            <w:pPr>
              <w:spacing w:after="0" w:line="240" w:lineRule="auto"/>
              <w:jc w:val="center"/>
              <w:rPr>
                <w:rFonts w:ascii="Arial Narrow" w:hAnsi="Arial Narrow"/>
                <w:i/>
                <w:sz w:val="20"/>
                <w:szCs w:val="20"/>
                <w:lang w:eastAsia="en-GB"/>
              </w:rPr>
            </w:pPr>
            <w:r w:rsidRPr="00B47061">
              <w:rPr>
                <w:rFonts w:ascii="Arial Narrow" w:hAnsi="Arial Narrow"/>
                <w:i/>
                <w:sz w:val="20"/>
                <w:szCs w:val="20"/>
                <w:lang w:eastAsia="en-GB"/>
              </w:rPr>
              <w:t>To share capacity on the Network for the safe carriage of passengers and goods in the most efficient and economical manner in the overall interest of current and prospective users and providers of the railway services.</w:t>
            </w:r>
          </w:p>
          <w:p w14:paraId="68390085" w14:textId="39854EDE" w:rsidR="006F4714" w:rsidRPr="00B47061" w:rsidRDefault="006F4714" w:rsidP="001D783E">
            <w:pPr>
              <w:spacing w:after="0" w:line="240" w:lineRule="auto"/>
              <w:jc w:val="center"/>
              <w:rPr>
                <w:rFonts w:ascii="Arial Narrow" w:eastAsia="Times New Roman" w:hAnsi="Arial Narrow" w:cs="Arial"/>
                <w:sz w:val="20"/>
                <w:szCs w:val="20"/>
                <w:lang w:eastAsia="en-GB"/>
              </w:rPr>
            </w:pPr>
          </w:p>
        </w:tc>
      </w:tr>
      <w:tr w:rsidR="00B47061" w:rsidRPr="00B47061" w14:paraId="3BE8DA47" w14:textId="77777777" w:rsidTr="00601059">
        <w:trPr>
          <w:trHeight w:val="600"/>
        </w:trPr>
        <w:tc>
          <w:tcPr>
            <w:tcW w:w="3998" w:type="dxa"/>
            <w:gridSpan w:val="2"/>
            <w:shd w:val="clear" w:color="auto" w:fill="D9D9D9" w:themeFill="background1" w:themeFillShade="D9"/>
            <w:noWrap/>
            <w:vAlign w:val="center"/>
          </w:tcPr>
          <w:p w14:paraId="42857D7D" w14:textId="77777777" w:rsidR="001D783E" w:rsidRPr="00B47061" w:rsidRDefault="001D783E" w:rsidP="001D783E">
            <w:pPr>
              <w:spacing w:after="0" w:line="240" w:lineRule="auto"/>
              <w:rPr>
                <w:rFonts w:ascii="Arial Narrow" w:eastAsia="Times New Roman" w:hAnsi="Arial Narrow" w:cs="Arial"/>
                <w:b/>
                <w:sz w:val="20"/>
                <w:szCs w:val="20"/>
                <w:lang w:eastAsia="en-GB"/>
              </w:rPr>
            </w:pPr>
            <w:r w:rsidRPr="00B47061">
              <w:rPr>
                <w:rFonts w:ascii="Arial Narrow" w:hAnsi="Arial Narrow"/>
                <w:b/>
                <w:sz w:val="20"/>
                <w:szCs w:val="20"/>
                <w:lang w:eastAsia="en-GB"/>
              </w:rPr>
              <w:t>Decision Criteria Considerations (4.6.2)</w:t>
            </w:r>
          </w:p>
        </w:tc>
        <w:tc>
          <w:tcPr>
            <w:tcW w:w="1559" w:type="dxa"/>
            <w:shd w:val="clear" w:color="auto" w:fill="D9D9D9" w:themeFill="background1" w:themeFillShade="D9"/>
            <w:noWrap/>
            <w:vAlign w:val="center"/>
          </w:tcPr>
          <w:p w14:paraId="278AB75B" w14:textId="77F81C62" w:rsidR="001D783E" w:rsidRPr="00B47061" w:rsidRDefault="001D783E" w:rsidP="001D783E">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b/>
                <w:sz w:val="20"/>
                <w:szCs w:val="20"/>
                <w:lang w:eastAsia="en-GB"/>
              </w:rPr>
              <w:t>Relevance (Yes or N/A)</w:t>
            </w:r>
          </w:p>
        </w:tc>
        <w:tc>
          <w:tcPr>
            <w:tcW w:w="1418" w:type="dxa"/>
            <w:shd w:val="clear" w:color="auto" w:fill="D9D9D9" w:themeFill="background1" w:themeFillShade="D9"/>
            <w:vAlign w:val="center"/>
          </w:tcPr>
          <w:p w14:paraId="0FA8DD74" w14:textId="5231B53C" w:rsidR="001D783E" w:rsidRPr="00B47061" w:rsidRDefault="001D783E" w:rsidP="001D783E">
            <w:pPr>
              <w:spacing w:after="0" w:line="240" w:lineRule="auto"/>
              <w:jc w:val="center"/>
              <w:rPr>
                <w:rFonts w:ascii="Arial Narrow" w:eastAsia="Times New Roman" w:hAnsi="Arial Narrow" w:cs="Arial"/>
                <w:b/>
                <w:sz w:val="20"/>
                <w:szCs w:val="20"/>
                <w:lang w:eastAsia="en-GB"/>
              </w:rPr>
            </w:pPr>
            <w:r w:rsidRPr="00B47061">
              <w:rPr>
                <w:rFonts w:ascii="Arial Narrow" w:eastAsia="Times New Roman" w:hAnsi="Arial Narrow" w:cs="Arial"/>
                <w:b/>
                <w:bCs/>
                <w:sz w:val="20"/>
                <w:szCs w:val="20"/>
                <w:lang w:eastAsia="en-GB"/>
              </w:rPr>
              <w:t xml:space="preserve">Weighting </w:t>
            </w:r>
            <w:r w:rsidR="63F34430" w:rsidRPr="00B47061">
              <w:rPr>
                <w:rFonts w:ascii="Arial Narrow" w:eastAsia="Times New Roman" w:hAnsi="Arial Narrow" w:cs="Arial"/>
                <w:b/>
                <w:sz w:val="20"/>
                <w:szCs w:val="20"/>
                <w:lang w:eastAsia="en-GB"/>
              </w:rPr>
              <w:t xml:space="preserve">(1 – </w:t>
            </w:r>
            <w:r w:rsidR="6C93AC6A" w:rsidRPr="00B47061">
              <w:rPr>
                <w:rFonts w:ascii="Arial Narrow" w:eastAsia="Times New Roman" w:hAnsi="Arial Narrow" w:cs="Arial"/>
                <w:b/>
                <w:sz w:val="20"/>
                <w:szCs w:val="20"/>
                <w:lang w:eastAsia="en-GB"/>
              </w:rPr>
              <w:t>Low</w:t>
            </w:r>
            <w:r w:rsidR="63F34430" w:rsidRPr="00B47061">
              <w:rPr>
                <w:rFonts w:ascii="Arial Narrow" w:eastAsia="Times New Roman" w:hAnsi="Arial Narrow" w:cs="Arial"/>
                <w:b/>
                <w:sz w:val="20"/>
                <w:szCs w:val="20"/>
                <w:lang w:eastAsia="en-GB"/>
              </w:rPr>
              <w:t xml:space="preserve"> Impact, 2 – Medium Impact, 3 Hi</w:t>
            </w:r>
            <w:r w:rsidR="5253C574" w:rsidRPr="00B47061">
              <w:rPr>
                <w:rFonts w:ascii="Arial Narrow" w:eastAsia="Times New Roman" w:hAnsi="Arial Narrow" w:cs="Arial"/>
                <w:b/>
                <w:sz w:val="20"/>
                <w:szCs w:val="20"/>
                <w:lang w:eastAsia="en-GB"/>
              </w:rPr>
              <w:t>gh Impact)</w:t>
            </w:r>
            <w:r w:rsidR="63F34430" w:rsidRPr="00B47061">
              <w:rPr>
                <w:rFonts w:ascii="Arial Narrow" w:eastAsia="Times New Roman" w:hAnsi="Arial Narrow" w:cs="Arial"/>
                <w:b/>
                <w:bCs/>
                <w:sz w:val="20"/>
                <w:szCs w:val="20"/>
                <w:lang w:eastAsia="en-GB"/>
              </w:rPr>
              <w:t xml:space="preserve"> </w:t>
            </w:r>
          </w:p>
        </w:tc>
        <w:tc>
          <w:tcPr>
            <w:tcW w:w="3827" w:type="dxa"/>
            <w:shd w:val="clear" w:color="auto" w:fill="D9D9D9" w:themeFill="background1" w:themeFillShade="D9"/>
            <w:vAlign w:val="center"/>
          </w:tcPr>
          <w:p w14:paraId="79E0C888" w14:textId="7302C45F" w:rsidR="001D783E" w:rsidRPr="00B47061" w:rsidRDefault="001D783E" w:rsidP="001D783E">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b/>
                <w:sz w:val="20"/>
                <w:szCs w:val="20"/>
                <w:lang w:eastAsia="en-GB"/>
              </w:rPr>
              <w:t>Evidence</w:t>
            </w:r>
          </w:p>
        </w:tc>
        <w:tc>
          <w:tcPr>
            <w:tcW w:w="3378" w:type="dxa"/>
            <w:shd w:val="clear" w:color="auto" w:fill="D9D9D9" w:themeFill="background1" w:themeFillShade="D9"/>
            <w:vAlign w:val="center"/>
          </w:tcPr>
          <w:p w14:paraId="23CE4990" w14:textId="7B86D443" w:rsidR="001D783E" w:rsidRPr="00B47061" w:rsidRDefault="001D783E" w:rsidP="001D783E">
            <w:pPr>
              <w:spacing w:after="0" w:line="240" w:lineRule="auto"/>
              <w:jc w:val="center"/>
              <w:rPr>
                <w:rFonts w:ascii="Arial Narrow" w:eastAsia="Times New Roman" w:hAnsi="Arial Narrow" w:cs="Arial"/>
                <w:b/>
                <w:sz w:val="20"/>
                <w:szCs w:val="20"/>
                <w:lang w:eastAsia="en-GB"/>
              </w:rPr>
            </w:pPr>
            <w:r w:rsidRPr="00B47061">
              <w:rPr>
                <w:rFonts w:ascii="Arial Narrow" w:eastAsia="Times New Roman" w:hAnsi="Arial Narrow" w:cs="Arial"/>
                <w:b/>
                <w:sz w:val="20"/>
                <w:szCs w:val="20"/>
                <w:lang w:eastAsia="en-GB"/>
              </w:rPr>
              <w:t xml:space="preserve">Network Rail </w:t>
            </w:r>
            <w:r w:rsidR="006A68FE" w:rsidRPr="00B47061">
              <w:rPr>
                <w:rFonts w:ascii="Arial Narrow" w:eastAsia="Times New Roman" w:hAnsi="Arial Narrow" w:cs="Arial"/>
                <w:b/>
                <w:sz w:val="20"/>
                <w:szCs w:val="20"/>
                <w:lang w:eastAsia="en-GB"/>
              </w:rPr>
              <w:t>Opinion</w:t>
            </w:r>
          </w:p>
        </w:tc>
      </w:tr>
      <w:tr w:rsidR="00B47061" w:rsidRPr="00B47061" w14:paraId="27E1BD81" w14:textId="77777777" w:rsidTr="005A4126">
        <w:trPr>
          <w:trHeight w:val="600"/>
        </w:trPr>
        <w:tc>
          <w:tcPr>
            <w:tcW w:w="369" w:type="dxa"/>
            <w:noWrap/>
            <w:vAlign w:val="center"/>
            <w:hideMark/>
          </w:tcPr>
          <w:p w14:paraId="6F0A9BC6" w14:textId="77777777" w:rsidR="007E5D4F" w:rsidRPr="00B47061" w:rsidRDefault="007E5D4F" w:rsidP="007E5D4F">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a</w:t>
            </w:r>
          </w:p>
        </w:tc>
        <w:tc>
          <w:tcPr>
            <w:tcW w:w="3629" w:type="dxa"/>
            <w:hideMark/>
          </w:tcPr>
          <w:p w14:paraId="0506EDCC" w14:textId="700DA040" w:rsidR="007E5D4F" w:rsidRPr="00B47061" w:rsidRDefault="00686F7B" w:rsidP="004430FD">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M</w:t>
            </w:r>
            <w:r w:rsidR="007E5D4F" w:rsidRPr="00B47061">
              <w:rPr>
                <w:rFonts w:ascii="Arial Narrow" w:eastAsia="Times New Roman" w:hAnsi="Arial Narrow" w:cs="Arial"/>
                <w:sz w:val="20"/>
                <w:szCs w:val="20"/>
                <w:lang w:eastAsia="en-GB"/>
              </w:rPr>
              <w:t xml:space="preserve">aintaining, </w:t>
            </w:r>
            <w:r w:rsidR="00827A9A" w:rsidRPr="00B47061">
              <w:rPr>
                <w:rFonts w:ascii="Arial Narrow" w:eastAsia="Times New Roman" w:hAnsi="Arial Narrow" w:cs="Arial"/>
                <w:sz w:val="20"/>
                <w:szCs w:val="20"/>
                <w:lang w:eastAsia="en-GB"/>
              </w:rPr>
              <w:t>developing,</w:t>
            </w:r>
            <w:r w:rsidR="007E5D4F" w:rsidRPr="00B47061">
              <w:rPr>
                <w:rFonts w:ascii="Arial Narrow" w:eastAsia="Times New Roman" w:hAnsi="Arial Narrow" w:cs="Arial"/>
                <w:sz w:val="20"/>
                <w:szCs w:val="20"/>
                <w:lang w:eastAsia="en-GB"/>
              </w:rPr>
              <w:t xml:space="preserve"> and improving the capability of the Network; </w:t>
            </w:r>
          </w:p>
        </w:tc>
        <w:tc>
          <w:tcPr>
            <w:tcW w:w="1559" w:type="dxa"/>
            <w:noWrap/>
            <w:hideMark/>
          </w:tcPr>
          <w:p w14:paraId="75DD701E" w14:textId="035EA7D2" w:rsidR="007E5D4F" w:rsidRPr="00B47061" w:rsidRDefault="15F6A801" w:rsidP="006A0611">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1418" w:type="dxa"/>
            <w:noWrap/>
            <w:hideMark/>
          </w:tcPr>
          <w:p w14:paraId="1BBF5911" w14:textId="708C30EB" w:rsidR="007E5D4F" w:rsidRPr="00B47061" w:rsidRDefault="005A4126" w:rsidP="006A0611">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noWrap/>
          </w:tcPr>
          <w:p w14:paraId="08A3249E" w14:textId="4D3D8C00" w:rsidR="007E5D4F" w:rsidRPr="00B47061" w:rsidRDefault="005A4126" w:rsidP="006A0611">
            <w:pPr>
              <w:pStyle w:val="NormalWeb"/>
              <w:spacing w:before="0" w:beforeAutospacing="0" w:after="0" w:afterAutospacing="0"/>
              <w:jc w:val="center"/>
              <w:rPr>
                <w:rFonts w:ascii="Arial Narrow" w:hAnsi="Arial Narrow" w:cs="Arial"/>
                <w:sz w:val="20"/>
                <w:szCs w:val="20"/>
              </w:rPr>
            </w:pPr>
            <w:r w:rsidRPr="00B47061">
              <w:rPr>
                <w:rFonts w:ascii="Arial Narrow" w:hAnsi="Arial Narrow" w:cs="Arial"/>
                <w:sz w:val="20"/>
                <w:szCs w:val="20"/>
              </w:rPr>
              <w:t>N/A</w:t>
            </w:r>
          </w:p>
        </w:tc>
        <w:tc>
          <w:tcPr>
            <w:tcW w:w="3378" w:type="dxa"/>
          </w:tcPr>
          <w:p w14:paraId="16C893FB" w14:textId="4D30B3BE" w:rsidR="003C6BE4" w:rsidRPr="00B47061" w:rsidRDefault="005A4126" w:rsidP="006A0611">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r>
      <w:tr w:rsidR="00B47061" w:rsidRPr="00B47061" w14:paraId="0B681546" w14:textId="77777777" w:rsidTr="00AB3A4F">
        <w:trPr>
          <w:trHeight w:val="600"/>
        </w:trPr>
        <w:tc>
          <w:tcPr>
            <w:tcW w:w="369" w:type="dxa"/>
            <w:noWrap/>
            <w:vAlign w:val="center"/>
            <w:hideMark/>
          </w:tcPr>
          <w:p w14:paraId="1A2FD5FB" w14:textId="77777777" w:rsidR="007E5D4F" w:rsidRPr="00B47061" w:rsidRDefault="007E5D4F" w:rsidP="007E5D4F">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b</w:t>
            </w:r>
          </w:p>
        </w:tc>
        <w:tc>
          <w:tcPr>
            <w:tcW w:w="3629" w:type="dxa"/>
            <w:hideMark/>
          </w:tcPr>
          <w:p w14:paraId="3830C90A" w14:textId="64166766" w:rsidR="007E5D4F" w:rsidRPr="00B47061" w:rsidRDefault="00686F7B" w:rsidP="004430FD">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T</w:t>
            </w:r>
            <w:r w:rsidR="007E5D4F" w:rsidRPr="00B47061">
              <w:rPr>
                <w:rFonts w:ascii="Arial Narrow" w:eastAsia="Times New Roman" w:hAnsi="Arial Narrow" w:cs="Arial"/>
                <w:sz w:val="20"/>
                <w:szCs w:val="20"/>
                <w:lang w:eastAsia="en-GB"/>
              </w:rPr>
              <w:t xml:space="preserve">hat the spread of services reflects demand; </w:t>
            </w:r>
          </w:p>
        </w:tc>
        <w:tc>
          <w:tcPr>
            <w:tcW w:w="1559" w:type="dxa"/>
            <w:noWrap/>
          </w:tcPr>
          <w:p w14:paraId="429D49B8" w14:textId="159B4EB1" w:rsidR="007E5D4F" w:rsidRPr="00B47061" w:rsidRDefault="5591B244" w:rsidP="3FDBC05B">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59397B2A" w14:textId="0965D99A" w:rsidR="007E5D4F" w:rsidRPr="00B47061" w:rsidRDefault="003B3BE7" w:rsidP="004430FD">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Medium</w:t>
            </w:r>
          </w:p>
        </w:tc>
        <w:tc>
          <w:tcPr>
            <w:tcW w:w="3827" w:type="dxa"/>
            <w:noWrap/>
          </w:tcPr>
          <w:p w14:paraId="5EE66AC8" w14:textId="3C4F7E9B" w:rsidR="007E5D4F" w:rsidRPr="00B47061" w:rsidRDefault="4782A1A1" w:rsidP="00406635">
            <w:pPr>
              <w:spacing w:after="0" w:line="240" w:lineRule="auto"/>
              <w:rPr>
                <w:rFonts w:ascii="Arial Narrow" w:eastAsia="Times New Roman" w:hAnsi="Arial Narrow" w:cs="Arial"/>
                <w:sz w:val="20"/>
                <w:szCs w:val="20"/>
                <w:lang w:eastAsia="en-GB"/>
              </w:rPr>
            </w:pPr>
            <w:r w:rsidRPr="59F8DCB9">
              <w:rPr>
                <w:rFonts w:ascii="Arial Narrow" w:eastAsia="Times New Roman" w:hAnsi="Arial Narrow" w:cs="Arial"/>
                <w:sz w:val="20"/>
                <w:szCs w:val="20"/>
                <w:lang w:eastAsia="en-GB"/>
              </w:rPr>
              <w:t>Information not shared with Network Rail until receipt of AWC SRD. AWC continue to cater for the growing leisure market of Blackpool, by offering a fast off</w:t>
            </w:r>
            <w:r w:rsidR="48EE9C08" w:rsidRPr="502838F2">
              <w:rPr>
                <w:rFonts w:ascii="Arial Narrow" w:eastAsia="Times New Roman" w:hAnsi="Arial Narrow" w:cs="Arial"/>
                <w:sz w:val="20"/>
                <w:szCs w:val="20"/>
                <w:lang w:eastAsia="en-GB"/>
              </w:rPr>
              <w:t>-</w:t>
            </w:r>
            <w:r w:rsidRPr="59F8DCB9">
              <w:rPr>
                <w:rFonts w:ascii="Arial Narrow" w:eastAsia="Times New Roman" w:hAnsi="Arial Narrow" w:cs="Arial"/>
                <w:sz w:val="20"/>
                <w:szCs w:val="20"/>
                <w:lang w:eastAsia="en-GB"/>
              </w:rPr>
              <w:t>peak service between London and Blackpool. This service also provides additional connectivity for Preston, Warrington and Wigan to / from London, reliving capacity on the busy 0930 Euston – Glasgow and 1038 Glasgow - Euston</w:t>
            </w:r>
          </w:p>
        </w:tc>
        <w:tc>
          <w:tcPr>
            <w:tcW w:w="3378" w:type="dxa"/>
          </w:tcPr>
          <w:p w14:paraId="0D36D3CD" w14:textId="5ACBECE1" w:rsidR="007E5D4F" w:rsidRPr="00B47061" w:rsidRDefault="00A7704B" w:rsidP="001956E7">
            <w:pPr>
              <w:pStyle w:val="ListParagraph"/>
              <w:spacing w:after="0" w:line="240" w:lineRule="auto"/>
              <w:ind w:left="0"/>
              <w:rPr>
                <w:rFonts w:ascii="Arial Narrow" w:hAnsi="Arial Narrow" w:cs="Calibri"/>
                <w:sz w:val="20"/>
                <w:szCs w:val="20"/>
              </w:rPr>
            </w:pPr>
            <w:r w:rsidRPr="1B6D53F7">
              <w:rPr>
                <w:rFonts w:ascii="Arial Narrow" w:hAnsi="Arial Narrow" w:cs="Calibri"/>
                <w:sz w:val="20"/>
                <w:szCs w:val="20"/>
              </w:rPr>
              <w:t>The</w:t>
            </w:r>
            <w:r w:rsidR="1BBD74B0" w:rsidRPr="1B6D53F7">
              <w:rPr>
                <w:rFonts w:ascii="Arial Narrow" w:hAnsi="Arial Narrow" w:cs="Calibri"/>
                <w:sz w:val="20"/>
                <w:szCs w:val="20"/>
              </w:rPr>
              <w:t>r</w:t>
            </w:r>
            <w:r w:rsidRPr="1B6D53F7">
              <w:rPr>
                <w:rFonts w:ascii="Arial Narrow" w:hAnsi="Arial Narrow" w:cs="Calibri"/>
                <w:sz w:val="20"/>
                <w:szCs w:val="20"/>
              </w:rPr>
              <w:t>e</w:t>
            </w:r>
            <w:r w:rsidRPr="00B47061">
              <w:rPr>
                <w:rFonts w:ascii="Arial Narrow" w:hAnsi="Arial Narrow" w:cs="Calibri"/>
                <w:sz w:val="20"/>
                <w:szCs w:val="20"/>
              </w:rPr>
              <w:t xml:space="preserve"> </w:t>
            </w:r>
            <w:r w:rsidR="25934E31" w:rsidRPr="5B641C35">
              <w:rPr>
                <w:rFonts w:ascii="Arial Narrow" w:hAnsi="Arial Narrow" w:cs="Calibri"/>
                <w:sz w:val="20"/>
                <w:szCs w:val="20"/>
              </w:rPr>
              <w:t xml:space="preserve">are </w:t>
            </w:r>
            <w:r w:rsidRPr="5B641C35">
              <w:rPr>
                <w:rFonts w:ascii="Arial Narrow" w:hAnsi="Arial Narrow" w:cs="Calibri"/>
                <w:sz w:val="20"/>
                <w:szCs w:val="20"/>
              </w:rPr>
              <w:t>alternative</w:t>
            </w:r>
            <w:r w:rsidR="1E5C82F3" w:rsidRPr="61AE40D4">
              <w:rPr>
                <w:rFonts w:ascii="Arial Narrow" w:hAnsi="Arial Narrow" w:cs="Calibri"/>
                <w:sz w:val="20"/>
                <w:szCs w:val="20"/>
              </w:rPr>
              <w:t xml:space="preserve"> services</w:t>
            </w:r>
            <w:r w:rsidRPr="00B47061">
              <w:rPr>
                <w:rFonts w:ascii="Arial Narrow" w:hAnsi="Arial Narrow" w:cs="Calibri"/>
                <w:sz w:val="20"/>
                <w:szCs w:val="20"/>
              </w:rPr>
              <w:t xml:space="preserve"> that </w:t>
            </w:r>
            <w:r w:rsidR="5513C26E" w:rsidRPr="6D667175">
              <w:rPr>
                <w:rFonts w:ascii="Arial Narrow" w:hAnsi="Arial Narrow" w:cs="Calibri"/>
                <w:sz w:val="20"/>
                <w:szCs w:val="20"/>
              </w:rPr>
              <w:t xml:space="preserve">provide </w:t>
            </w:r>
            <w:r w:rsidR="5513C26E" w:rsidRPr="3B27E06E">
              <w:rPr>
                <w:rFonts w:ascii="Arial Narrow" w:hAnsi="Arial Narrow" w:cs="Calibri"/>
                <w:sz w:val="20"/>
                <w:szCs w:val="20"/>
              </w:rPr>
              <w:t>alterative</w:t>
            </w:r>
            <w:r w:rsidR="5513C26E" w:rsidRPr="0CC0B364">
              <w:rPr>
                <w:rFonts w:ascii="Arial Narrow" w:hAnsi="Arial Narrow" w:cs="Calibri"/>
                <w:sz w:val="20"/>
                <w:szCs w:val="20"/>
              </w:rPr>
              <w:t xml:space="preserve"> </w:t>
            </w:r>
            <w:r w:rsidR="002C3439" w:rsidRPr="502838F2">
              <w:rPr>
                <w:rFonts w:ascii="Arial Narrow" w:hAnsi="Arial Narrow" w:cs="Calibri"/>
                <w:sz w:val="20"/>
                <w:szCs w:val="20"/>
              </w:rPr>
              <w:t>reasonable connectivity</w:t>
            </w:r>
            <w:r w:rsidRPr="00B47061">
              <w:rPr>
                <w:rFonts w:ascii="Arial Narrow" w:hAnsi="Arial Narrow" w:cs="Calibri"/>
                <w:sz w:val="20"/>
                <w:szCs w:val="20"/>
              </w:rPr>
              <w:t xml:space="preserve"> and spread of services is maintained, and the rejected trains are not essential to meet underlying demand</w:t>
            </w:r>
            <w:r w:rsidR="2BF8D52D" w:rsidRPr="201C2943">
              <w:rPr>
                <w:rFonts w:ascii="Arial Narrow" w:hAnsi="Arial Narrow" w:cs="Calibri"/>
                <w:sz w:val="20"/>
                <w:szCs w:val="20"/>
              </w:rPr>
              <w:t>.</w:t>
            </w:r>
          </w:p>
        </w:tc>
      </w:tr>
      <w:tr w:rsidR="00B47061" w:rsidRPr="00B47061" w14:paraId="62B8A8F4" w14:textId="77777777" w:rsidTr="00AB3A4F">
        <w:trPr>
          <w:trHeight w:val="600"/>
        </w:trPr>
        <w:tc>
          <w:tcPr>
            <w:tcW w:w="369" w:type="dxa"/>
            <w:noWrap/>
            <w:vAlign w:val="center"/>
            <w:hideMark/>
          </w:tcPr>
          <w:p w14:paraId="3304E1F1" w14:textId="77777777" w:rsidR="007E5D4F" w:rsidRPr="00B47061" w:rsidRDefault="007E5D4F" w:rsidP="007E5D4F">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c</w:t>
            </w:r>
          </w:p>
        </w:tc>
        <w:tc>
          <w:tcPr>
            <w:tcW w:w="3629" w:type="dxa"/>
            <w:hideMark/>
          </w:tcPr>
          <w:p w14:paraId="5D5CA747" w14:textId="1AB094E2" w:rsidR="007E5D4F" w:rsidRPr="00B47061" w:rsidRDefault="00686F7B" w:rsidP="004430FD">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M</w:t>
            </w:r>
            <w:r w:rsidR="007E5D4F" w:rsidRPr="00B47061">
              <w:rPr>
                <w:rFonts w:ascii="Arial Narrow" w:eastAsia="Times New Roman" w:hAnsi="Arial Narrow" w:cs="Arial"/>
                <w:sz w:val="20"/>
                <w:szCs w:val="20"/>
                <w:lang w:eastAsia="en-GB"/>
              </w:rPr>
              <w:t xml:space="preserve">aintaining and improving train service performance; </w:t>
            </w:r>
          </w:p>
        </w:tc>
        <w:tc>
          <w:tcPr>
            <w:tcW w:w="1559" w:type="dxa"/>
            <w:noWrap/>
          </w:tcPr>
          <w:p w14:paraId="468A28A2" w14:textId="69DABED6" w:rsidR="007E5D4F" w:rsidRPr="00B47061" w:rsidRDefault="2238AAC9" w:rsidP="004430FD">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332C0E12" w14:textId="53597B16" w:rsidR="003C6BE4" w:rsidRPr="00B47061" w:rsidRDefault="003D2443" w:rsidP="00D56453">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High</w:t>
            </w:r>
          </w:p>
        </w:tc>
        <w:tc>
          <w:tcPr>
            <w:tcW w:w="3827" w:type="dxa"/>
          </w:tcPr>
          <w:p w14:paraId="4A6E0365" w14:textId="45E6F745" w:rsidR="007E5D4F" w:rsidRPr="00B47061" w:rsidRDefault="002A56E6" w:rsidP="00342D5D">
            <w:pPr>
              <w:spacing w:line="240" w:lineRule="auto"/>
              <w:rPr>
                <w:rFonts w:ascii="Arial Narrow" w:hAnsi="Arial Narrow" w:cs="Arial"/>
                <w:sz w:val="20"/>
                <w:szCs w:val="20"/>
              </w:rPr>
            </w:pPr>
            <w:r w:rsidRPr="00B47061">
              <w:rPr>
                <w:rFonts w:ascii="Arial Narrow" w:hAnsi="Arial Narrow" w:cs="Calibri"/>
                <w:sz w:val="20"/>
                <w:szCs w:val="20"/>
              </w:rPr>
              <w:t>The WCML South T0 to 3% MAA is lower than 60% and Right Time is lower than 40%. It is Network Rail’s view that this demonstrates that the WCML South Fast Lines are already highly vulnerable for minor perturbation, and introducing further trains would only worsen the robustness of timetable.</w:t>
            </w:r>
          </w:p>
        </w:tc>
        <w:tc>
          <w:tcPr>
            <w:tcW w:w="3378" w:type="dxa"/>
          </w:tcPr>
          <w:p w14:paraId="3C2496C4" w14:textId="67C389B4" w:rsidR="007E5D4F" w:rsidRPr="00B47061" w:rsidRDefault="00DB05BE" w:rsidP="000D5253">
            <w:pPr>
              <w:spacing w:line="240" w:lineRule="auto"/>
              <w:rPr>
                <w:rFonts w:ascii="Arial Narrow" w:eastAsia="Times New Roman" w:hAnsi="Arial Narrow" w:cs="Arial"/>
                <w:sz w:val="20"/>
                <w:szCs w:val="20"/>
                <w:lang w:eastAsia="en-GB"/>
              </w:rPr>
            </w:pPr>
            <w:r w:rsidRPr="00B47061">
              <w:rPr>
                <w:rFonts w:ascii="Arial Narrow" w:hAnsi="Arial Narrow" w:cs="Calibri"/>
                <w:sz w:val="20"/>
                <w:szCs w:val="20"/>
              </w:rPr>
              <w:t>Network Rail therefore concluded that accommodating these services would exacerbate unreliability and would not support the objective of maintaining and improving train service performance.</w:t>
            </w:r>
          </w:p>
        </w:tc>
      </w:tr>
      <w:tr w:rsidR="00367010" w:rsidRPr="00B47061" w14:paraId="1C9098D8" w14:textId="77777777" w:rsidTr="00AB3A4F">
        <w:trPr>
          <w:trHeight w:val="600"/>
        </w:trPr>
        <w:tc>
          <w:tcPr>
            <w:tcW w:w="369" w:type="dxa"/>
            <w:noWrap/>
            <w:vAlign w:val="center"/>
            <w:hideMark/>
          </w:tcPr>
          <w:p w14:paraId="61368AFB" w14:textId="77777777" w:rsidR="00367010" w:rsidRPr="00B47061" w:rsidRDefault="00367010" w:rsidP="00367010">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d</w:t>
            </w:r>
          </w:p>
        </w:tc>
        <w:tc>
          <w:tcPr>
            <w:tcW w:w="3629" w:type="dxa"/>
            <w:hideMark/>
          </w:tcPr>
          <w:p w14:paraId="047EA012" w14:textId="238FD406" w:rsidR="00367010" w:rsidRPr="00B47061" w:rsidRDefault="00367010" w:rsidP="00367010">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That journey times are as short as reasonably possible; </w:t>
            </w:r>
          </w:p>
        </w:tc>
        <w:tc>
          <w:tcPr>
            <w:tcW w:w="1559" w:type="dxa"/>
            <w:noWrap/>
          </w:tcPr>
          <w:p w14:paraId="08CF80B3" w14:textId="24513D9D" w:rsidR="00367010" w:rsidRPr="00B47061" w:rsidRDefault="00367010" w:rsidP="00367010">
            <w:pPr>
              <w:spacing w:after="0" w:line="240" w:lineRule="auto"/>
              <w:jc w:val="center"/>
              <w:rPr>
                <w:rFonts w:ascii="Arial Narrow" w:hAnsi="Arial Narrow"/>
                <w:sz w:val="20"/>
                <w:szCs w:val="20"/>
              </w:rPr>
            </w:pPr>
            <w:r w:rsidRPr="00B47061">
              <w:rPr>
                <w:rFonts w:ascii="Arial Narrow" w:hAnsi="Arial Narrow"/>
                <w:sz w:val="20"/>
                <w:szCs w:val="20"/>
              </w:rPr>
              <w:t>Yes</w:t>
            </w:r>
          </w:p>
        </w:tc>
        <w:tc>
          <w:tcPr>
            <w:tcW w:w="1418" w:type="dxa"/>
            <w:noWrap/>
          </w:tcPr>
          <w:p w14:paraId="722A5BC6" w14:textId="56B314C8" w:rsidR="00367010" w:rsidRPr="00B47061" w:rsidRDefault="00367010" w:rsidP="00367010">
            <w:pPr>
              <w:spacing w:after="0" w:line="240" w:lineRule="auto"/>
              <w:jc w:val="center"/>
            </w:pPr>
            <w:r w:rsidRPr="00B47061">
              <w:rPr>
                <w:rFonts w:ascii="Arial Narrow" w:eastAsia="Times New Roman" w:hAnsi="Arial Narrow" w:cs="Arial"/>
                <w:sz w:val="20"/>
                <w:szCs w:val="20"/>
                <w:lang w:eastAsia="en-GB"/>
              </w:rPr>
              <w:t>N/A</w:t>
            </w:r>
          </w:p>
        </w:tc>
        <w:tc>
          <w:tcPr>
            <w:tcW w:w="3827" w:type="dxa"/>
            <w:noWrap/>
          </w:tcPr>
          <w:p w14:paraId="3E61C3BF" w14:textId="2F312F99" w:rsidR="00367010" w:rsidRPr="00B47061" w:rsidRDefault="00367010" w:rsidP="00367010">
            <w:pPr>
              <w:spacing w:after="0" w:line="240" w:lineRule="auto"/>
              <w:rPr>
                <w:rFonts w:ascii="Arial Narrow" w:hAnsi="Arial Narrow" w:cs="Arial"/>
                <w:sz w:val="20"/>
                <w:szCs w:val="20"/>
              </w:rPr>
            </w:pPr>
            <w:r w:rsidRPr="00B47061">
              <w:rPr>
                <w:rFonts w:ascii="Arial Narrow" w:hAnsi="Arial Narrow" w:cs="Arial"/>
                <w:sz w:val="20"/>
                <w:szCs w:val="20"/>
              </w:rPr>
              <w:t>N/A</w:t>
            </w:r>
          </w:p>
        </w:tc>
        <w:tc>
          <w:tcPr>
            <w:tcW w:w="3378" w:type="dxa"/>
          </w:tcPr>
          <w:p w14:paraId="5E0FBB48" w14:textId="0CFBCC7D" w:rsidR="00367010" w:rsidRPr="00B47061" w:rsidRDefault="00367010" w:rsidP="00367010">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r>
      <w:tr w:rsidR="00367010" w:rsidRPr="00B47061" w14:paraId="679D4879" w14:textId="77777777" w:rsidTr="00AB3A4F">
        <w:trPr>
          <w:trHeight w:val="600"/>
        </w:trPr>
        <w:tc>
          <w:tcPr>
            <w:tcW w:w="369" w:type="dxa"/>
            <w:noWrap/>
            <w:vAlign w:val="center"/>
            <w:hideMark/>
          </w:tcPr>
          <w:p w14:paraId="72444838" w14:textId="77777777" w:rsidR="00367010" w:rsidRPr="00B47061" w:rsidRDefault="00367010" w:rsidP="00367010">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e</w:t>
            </w:r>
          </w:p>
        </w:tc>
        <w:tc>
          <w:tcPr>
            <w:tcW w:w="3629" w:type="dxa"/>
            <w:hideMark/>
          </w:tcPr>
          <w:p w14:paraId="40937D90" w14:textId="3F20B1F6" w:rsidR="00367010" w:rsidRPr="00B47061" w:rsidRDefault="00367010" w:rsidP="00367010">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Maintaining and improving an integrated system of transport for passengers and goods; </w:t>
            </w:r>
          </w:p>
        </w:tc>
        <w:tc>
          <w:tcPr>
            <w:tcW w:w="1559" w:type="dxa"/>
            <w:noWrap/>
          </w:tcPr>
          <w:p w14:paraId="7544C278" w14:textId="6BAB41A1" w:rsidR="00367010" w:rsidRPr="00B47061" w:rsidRDefault="00367010" w:rsidP="00367010">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20E81BD3" w14:textId="161F5CD4" w:rsidR="00367010" w:rsidRPr="00B47061" w:rsidRDefault="00367010" w:rsidP="00367010">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Medium </w:t>
            </w:r>
          </w:p>
        </w:tc>
        <w:tc>
          <w:tcPr>
            <w:tcW w:w="3827" w:type="dxa"/>
            <w:noWrap/>
          </w:tcPr>
          <w:p w14:paraId="1212F1A9" w14:textId="77777777" w:rsidR="00367010" w:rsidRDefault="00367010" w:rsidP="00367010">
            <w:pPr>
              <w:pStyle w:val="NormalWeb"/>
              <w:spacing w:before="0" w:beforeAutospacing="0" w:after="0" w:afterAutospacing="0"/>
              <w:rPr>
                <w:rFonts w:ascii="Arial Narrow" w:hAnsi="Arial Narrow" w:cs="Calibri"/>
                <w:sz w:val="20"/>
                <w:szCs w:val="20"/>
              </w:rPr>
            </w:pPr>
            <w:r w:rsidRPr="00B47061">
              <w:rPr>
                <w:rFonts w:ascii="Arial Narrow" w:hAnsi="Arial Narrow" w:cs="Calibri"/>
                <w:sz w:val="20"/>
                <w:szCs w:val="20"/>
              </w:rPr>
              <w:t>Connectivity is retained. Passengers are not 'cut-off</w:t>
            </w:r>
            <w:proofErr w:type="gramStart"/>
            <w:r w:rsidRPr="00B47061">
              <w:rPr>
                <w:rFonts w:ascii="Arial Narrow" w:hAnsi="Arial Narrow" w:cs="Calibri"/>
                <w:sz w:val="20"/>
                <w:szCs w:val="20"/>
              </w:rPr>
              <w:t>'</w:t>
            </w:r>
            <w:proofErr w:type="gramEnd"/>
            <w:r w:rsidRPr="00B47061">
              <w:rPr>
                <w:rFonts w:ascii="Arial Narrow" w:hAnsi="Arial Narrow" w:cs="Calibri"/>
                <w:sz w:val="20"/>
                <w:szCs w:val="20"/>
              </w:rPr>
              <w:t xml:space="preserve"> and the network remains integrated even without the extra uplift of paths. </w:t>
            </w:r>
          </w:p>
          <w:p w14:paraId="31060D10" w14:textId="7BCDA4E0" w:rsidR="00367010" w:rsidRPr="00B47061" w:rsidRDefault="00367010" w:rsidP="00367010">
            <w:pPr>
              <w:pStyle w:val="NormalWeb"/>
              <w:spacing w:before="0" w:beforeAutospacing="0" w:after="0" w:afterAutospacing="0"/>
              <w:rPr>
                <w:rFonts w:ascii="Arial Narrow" w:hAnsi="Arial Narrow" w:cs="Arial"/>
                <w:sz w:val="20"/>
                <w:szCs w:val="20"/>
              </w:rPr>
            </w:pPr>
            <w:r w:rsidRPr="001645CA">
              <w:rPr>
                <w:rFonts w:ascii="Arial Narrow" w:hAnsi="Arial Narrow" w:cs="Arial"/>
                <w:sz w:val="20"/>
                <w:szCs w:val="20"/>
              </w:rPr>
              <w:t>Removing trains from the timetable sees a forced decline in any integrated service for passengers, removing late evening journey opportunities from Chester and North Wales to London and a daytime fast link between Blackpool North, Preston, Wigan and Warrington and London Eusto</w:t>
            </w:r>
            <w:r>
              <w:rPr>
                <w:rFonts w:ascii="Arial Narrow" w:hAnsi="Arial Narrow" w:cs="Arial"/>
                <w:sz w:val="20"/>
                <w:szCs w:val="20"/>
              </w:rPr>
              <w:t>n</w:t>
            </w:r>
          </w:p>
        </w:tc>
        <w:tc>
          <w:tcPr>
            <w:tcW w:w="3378" w:type="dxa"/>
          </w:tcPr>
          <w:p w14:paraId="6A4B0417" w14:textId="4BCAD8D3" w:rsidR="00367010" w:rsidRPr="00B47061" w:rsidRDefault="00367010" w:rsidP="00367010">
            <w:pPr>
              <w:spacing w:line="240" w:lineRule="auto"/>
              <w:rPr>
                <w:rFonts w:ascii="Arial Narrow" w:eastAsia="Times New Roman" w:hAnsi="Arial Narrow" w:cs="Calibri"/>
                <w:sz w:val="20"/>
                <w:szCs w:val="20"/>
              </w:rPr>
            </w:pPr>
            <w:r w:rsidRPr="00B47061">
              <w:rPr>
                <w:rFonts w:ascii="Arial Narrow" w:eastAsia="Times New Roman" w:hAnsi="Arial Narrow" w:cs="Calibri"/>
                <w:sz w:val="20"/>
                <w:szCs w:val="20"/>
              </w:rPr>
              <w:t>AWC suggest the rejected trains are essential for integration. NR refute this and submit that the removal of these services does not break the network’s integration — Blackpool, Chester and North Wales all continue to have connectivity to London, albeit with lower frequency. Protecting resilience for the wider network, which benefits all operators and passengers, is a stronger integration outcome than adding services that destabilise performance.</w:t>
            </w:r>
          </w:p>
          <w:p w14:paraId="03802F25" w14:textId="0233DB9D" w:rsidR="00367010" w:rsidRPr="00B47061" w:rsidRDefault="00367010" w:rsidP="00367010">
            <w:pPr>
              <w:spacing w:after="0" w:line="240" w:lineRule="auto"/>
              <w:rPr>
                <w:rFonts w:ascii="Arial Narrow" w:eastAsia="Times New Roman" w:hAnsi="Arial Narrow" w:cs="Arial"/>
                <w:sz w:val="20"/>
                <w:szCs w:val="20"/>
                <w:lang w:eastAsia="en-GB"/>
              </w:rPr>
            </w:pPr>
          </w:p>
        </w:tc>
      </w:tr>
      <w:tr w:rsidR="008E3895" w:rsidRPr="00B47061" w14:paraId="0CE84E60" w14:textId="77777777" w:rsidTr="00AB3A4F">
        <w:trPr>
          <w:trHeight w:val="1020"/>
        </w:trPr>
        <w:tc>
          <w:tcPr>
            <w:tcW w:w="369" w:type="dxa"/>
            <w:noWrap/>
            <w:vAlign w:val="center"/>
            <w:hideMark/>
          </w:tcPr>
          <w:p w14:paraId="17F24657"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f</w:t>
            </w:r>
          </w:p>
        </w:tc>
        <w:tc>
          <w:tcPr>
            <w:tcW w:w="3629" w:type="dxa"/>
            <w:hideMark/>
          </w:tcPr>
          <w:p w14:paraId="44813F29" w14:textId="1D41F279"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The commercial interests of Network Rail (apart from the terms of any maintenance contract </w:t>
            </w:r>
            <w:proofErr w:type="gramStart"/>
            <w:r w:rsidRPr="00B47061">
              <w:rPr>
                <w:rFonts w:ascii="Arial Narrow" w:eastAsia="Times New Roman" w:hAnsi="Arial Narrow" w:cs="Arial"/>
                <w:sz w:val="20"/>
                <w:szCs w:val="20"/>
                <w:lang w:eastAsia="en-GB"/>
              </w:rPr>
              <w:t>entered into</w:t>
            </w:r>
            <w:proofErr w:type="gramEnd"/>
            <w:r w:rsidRPr="00B47061">
              <w:rPr>
                <w:rFonts w:ascii="Arial Narrow" w:eastAsia="Times New Roman" w:hAnsi="Arial Narrow" w:cs="Arial"/>
                <w:sz w:val="20"/>
                <w:szCs w:val="20"/>
                <w:lang w:eastAsia="en-GB"/>
              </w:rPr>
              <w:t xml:space="preserve"> or proposed by Network Rail) or any Timetable Participant of which Network Rail is aware; </w:t>
            </w:r>
          </w:p>
        </w:tc>
        <w:tc>
          <w:tcPr>
            <w:tcW w:w="1559" w:type="dxa"/>
            <w:noWrap/>
          </w:tcPr>
          <w:p w14:paraId="2D60F3A5" w14:textId="4E003A00"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tcBorders>
              <w:bottom w:val="single" w:sz="4" w:space="0" w:color="auto"/>
            </w:tcBorders>
            <w:noWrap/>
          </w:tcPr>
          <w:p w14:paraId="088E715B" w14:textId="621F0175"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tcBorders>
              <w:bottom w:val="single" w:sz="4" w:space="0" w:color="auto"/>
            </w:tcBorders>
            <w:noWrap/>
          </w:tcPr>
          <w:p w14:paraId="70EB8028" w14:textId="6EF1CD38" w:rsidR="008E3895" w:rsidRPr="00B47061" w:rsidRDefault="008E3895" w:rsidP="008E3895">
            <w:pPr>
              <w:pStyle w:val="NormalWeb"/>
              <w:spacing w:before="0" w:beforeAutospacing="0" w:after="0" w:afterAutospacing="0"/>
              <w:rPr>
                <w:rFonts w:ascii="Arial Narrow" w:hAnsi="Arial Narrow" w:cs="Arial"/>
                <w:sz w:val="20"/>
                <w:szCs w:val="20"/>
              </w:rPr>
            </w:pPr>
            <w:r w:rsidRPr="00B47061">
              <w:rPr>
                <w:rFonts w:ascii="Arial Narrow" w:hAnsi="Arial Narrow" w:cs="Arial"/>
                <w:sz w:val="20"/>
                <w:szCs w:val="20"/>
              </w:rPr>
              <w:t>N/A</w:t>
            </w:r>
          </w:p>
        </w:tc>
        <w:tc>
          <w:tcPr>
            <w:tcW w:w="3378" w:type="dxa"/>
            <w:tcBorders>
              <w:bottom w:val="single" w:sz="4" w:space="0" w:color="auto"/>
            </w:tcBorders>
          </w:tcPr>
          <w:p w14:paraId="5B9F64BB" w14:textId="2FE9CD17" w:rsidR="008E3895" w:rsidRPr="00B47061" w:rsidRDefault="008E3895" w:rsidP="008E3895">
            <w:pP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r>
      <w:tr w:rsidR="008E3895" w:rsidRPr="00B47061" w14:paraId="40B3525A" w14:textId="77777777" w:rsidTr="00AB3A4F">
        <w:trPr>
          <w:trHeight w:val="600"/>
        </w:trPr>
        <w:tc>
          <w:tcPr>
            <w:tcW w:w="369" w:type="dxa"/>
            <w:noWrap/>
            <w:vAlign w:val="center"/>
            <w:hideMark/>
          </w:tcPr>
          <w:p w14:paraId="471376B1"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g</w:t>
            </w:r>
          </w:p>
        </w:tc>
        <w:tc>
          <w:tcPr>
            <w:tcW w:w="3629" w:type="dxa"/>
            <w:hideMark/>
          </w:tcPr>
          <w:p w14:paraId="50BD3885" w14:textId="1EA0E40A"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Seeking consistency with any Long-Term Plan and any relevant Development Timetable produced by an ESG.  </w:t>
            </w:r>
          </w:p>
        </w:tc>
        <w:tc>
          <w:tcPr>
            <w:tcW w:w="1559" w:type="dxa"/>
            <w:noWrap/>
          </w:tcPr>
          <w:p w14:paraId="062E2674" w14:textId="7317C4A3"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32BC1319" w14:textId="28859FC4"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Medium</w:t>
            </w:r>
          </w:p>
        </w:tc>
        <w:tc>
          <w:tcPr>
            <w:tcW w:w="3827" w:type="dxa"/>
            <w:noWrap/>
          </w:tcPr>
          <w:p w14:paraId="5547CDC1" w14:textId="77777777" w:rsidR="008E3895" w:rsidRPr="00B47061" w:rsidRDefault="008E3895" w:rsidP="008E3895">
            <w:pPr>
              <w:spacing w:after="0" w:line="240" w:lineRule="auto"/>
              <w:rPr>
                <w:rFonts w:ascii="Arial Narrow" w:eastAsia="Times New Roman" w:hAnsi="Arial Narrow" w:cs="Calibri"/>
                <w:sz w:val="20"/>
                <w:szCs w:val="20"/>
              </w:rPr>
            </w:pPr>
            <w:r w:rsidRPr="00B47061">
              <w:rPr>
                <w:rFonts w:ascii="Arial Narrow" w:eastAsia="Times New Roman" w:hAnsi="Arial Narrow" w:cs="Calibri"/>
                <w:sz w:val="20"/>
                <w:szCs w:val="20"/>
              </w:rPr>
              <w:t xml:space="preserve">AWC rely on the December 2022 ESG timetable. </w:t>
            </w:r>
          </w:p>
          <w:p w14:paraId="19715000" w14:textId="77777777" w:rsidR="008E3895" w:rsidRPr="00B47061" w:rsidRDefault="008E3895" w:rsidP="008E3895">
            <w:pPr>
              <w:spacing w:after="0" w:line="240" w:lineRule="auto"/>
              <w:rPr>
                <w:rFonts w:ascii="Arial Narrow" w:eastAsia="Times New Roman" w:hAnsi="Arial Narrow" w:cs="Calibri"/>
                <w:sz w:val="20"/>
                <w:szCs w:val="20"/>
              </w:rPr>
            </w:pPr>
          </w:p>
          <w:p w14:paraId="4051507C" w14:textId="46A08043" w:rsidR="008E3895" w:rsidRPr="00B47061" w:rsidRDefault="008E3895" w:rsidP="008E3895">
            <w:pPr>
              <w:spacing w:after="0" w:line="240" w:lineRule="auto"/>
              <w:rPr>
                <w:rFonts w:ascii="Arial Narrow" w:eastAsia="Times New Roman" w:hAnsi="Arial Narrow" w:cs="Calibri"/>
                <w:sz w:val="20"/>
                <w:szCs w:val="20"/>
              </w:rPr>
            </w:pPr>
            <w:r w:rsidRPr="00B47061">
              <w:rPr>
                <w:rFonts w:ascii="Arial Narrow" w:eastAsia="Times New Roman" w:hAnsi="Arial Narrow" w:cs="Calibri"/>
                <w:sz w:val="20"/>
                <w:szCs w:val="20"/>
              </w:rPr>
              <w:t xml:space="preserve">However, </w:t>
            </w:r>
            <w:proofErr w:type="gramStart"/>
            <w:r w:rsidRPr="00B47061">
              <w:rPr>
                <w:rFonts w:ascii="Arial Narrow" w:eastAsia="Times New Roman" w:hAnsi="Arial Narrow" w:cs="Calibri"/>
                <w:sz w:val="20"/>
                <w:szCs w:val="20"/>
              </w:rPr>
              <w:t>NR’s</w:t>
            </w:r>
            <w:proofErr w:type="gramEnd"/>
            <w:r w:rsidRPr="00B47061">
              <w:rPr>
                <w:rFonts w:ascii="Arial Narrow" w:eastAsia="Times New Roman" w:hAnsi="Arial Narrow" w:cs="Calibri"/>
                <w:sz w:val="20"/>
                <w:szCs w:val="20"/>
              </w:rPr>
              <w:t xml:space="preserve"> has confirmed that no Development Timetable was produced by the ESG for December 2025. The ESG outputs from 2022 cannot be treated as binding in perpetuity; they were a snapshot produced under different performance conditions.</w:t>
            </w:r>
          </w:p>
          <w:p w14:paraId="367CD3A6" w14:textId="00206C20"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Calibri"/>
                <w:sz w:val="20"/>
                <w:szCs w:val="20"/>
              </w:rPr>
              <w:t xml:space="preserve">. </w:t>
            </w:r>
          </w:p>
        </w:tc>
        <w:tc>
          <w:tcPr>
            <w:tcW w:w="3378" w:type="dxa"/>
          </w:tcPr>
          <w:p w14:paraId="2F4D0771" w14:textId="5F2F97AF"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Calibri"/>
                <w:sz w:val="20"/>
                <w:szCs w:val="20"/>
              </w:rPr>
              <w:t>This demonstrates that the margins assumed in 2022 are no longer sustainable and that reliance on the ESG outputs is misplaced.</w:t>
            </w:r>
          </w:p>
          <w:p w14:paraId="027A60B6" w14:textId="2D2FA926" w:rsidR="008E3895" w:rsidRPr="00B47061" w:rsidRDefault="008E3895" w:rsidP="008E3895">
            <w:pPr>
              <w:spacing w:after="0" w:line="240" w:lineRule="auto"/>
              <w:rPr>
                <w:rFonts w:ascii="Arial Narrow" w:hAnsi="Arial Narrow" w:cs="Calibri"/>
                <w:sz w:val="20"/>
                <w:szCs w:val="20"/>
              </w:rPr>
            </w:pPr>
          </w:p>
          <w:p w14:paraId="74356D69" w14:textId="07E9531A"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NR’s opinion is that (g) could easily be classified as not applicable – however, on the basis that AWC assign importance to it, we note a small degree of relevance, but with a low weighting. </w:t>
            </w:r>
          </w:p>
        </w:tc>
      </w:tr>
      <w:tr w:rsidR="008E3895" w:rsidRPr="00B47061" w14:paraId="2E1E5FF0" w14:textId="77777777" w:rsidTr="00AB3A4F">
        <w:trPr>
          <w:trHeight w:val="765"/>
        </w:trPr>
        <w:tc>
          <w:tcPr>
            <w:tcW w:w="369" w:type="dxa"/>
            <w:noWrap/>
            <w:vAlign w:val="center"/>
            <w:hideMark/>
          </w:tcPr>
          <w:p w14:paraId="3A6B0E41"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h</w:t>
            </w:r>
          </w:p>
        </w:tc>
        <w:tc>
          <w:tcPr>
            <w:tcW w:w="3629" w:type="dxa"/>
            <w:hideMark/>
          </w:tcPr>
          <w:p w14:paraId="380E98FF" w14:textId="79DF1AFF"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That, as far as possible, International Paths included in the New Working Timetable at D-48 are not subsequently changed; </w:t>
            </w:r>
          </w:p>
        </w:tc>
        <w:tc>
          <w:tcPr>
            <w:tcW w:w="1559" w:type="dxa"/>
            <w:noWrap/>
          </w:tcPr>
          <w:p w14:paraId="2310501F" w14:textId="7FA4FAC0"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hAnsi="Arial Narrow" w:cs="Calibri"/>
                <w:sz w:val="20"/>
                <w:szCs w:val="20"/>
              </w:rPr>
              <w:t>N/A</w:t>
            </w:r>
          </w:p>
        </w:tc>
        <w:tc>
          <w:tcPr>
            <w:tcW w:w="1418" w:type="dxa"/>
            <w:noWrap/>
          </w:tcPr>
          <w:p w14:paraId="4833B783" w14:textId="7734A643"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noWrap/>
          </w:tcPr>
          <w:p w14:paraId="18CB4D8D" w14:textId="39DB44C3"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Arial"/>
                <w:sz w:val="20"/>
                <w:szCs w:val="20"/>
              </w:rPr>
              <w:t>N/A</w:t>
            </w:r>
          </w:p>
        </w:tc>
        <w:tc>
          <w:tcPr>
            <w:tcW w:w="3378" w:type="dxa"/>
          </w:tcPr>
          <w:p w14:paraId="0313EAAB" w14:textId="3A1EA190" w:rsidR="008E3895" w:rsidRPr="00B47061" w:rsidRDefault="008E3895" w:rsidP="008E3895">
            <w:pPr>
              <w:spacing w:after="0" w:line="240" w:lineRule="auto"/>
              <w:rPr>
                <w:rFonts w:ascii="Arial Narrow" w:hAnsi="Arial Narrow" w:cs="Calibri"/>
                <w:sz w:val="20"/>
                <w:szCs w:val="20"/>
              </w:rPr>
            </w:pPr>
            <w:r w:rsidRPr="00B47061">
              <w:rPr>
                <w:rFonts w:ascii="Arial Narrow" w:eastAsia="Times New Roman" w:hAnsi="Arial Narrow" w:cs="Arial"/>
                <w:sz w:val="20"/>
                <w:szCs w:val="20"/>
                <w:lang w:eastAsia="en-GB"/>
              </w:rPr>
              <w:t>N/A</w:t>
            </w:r>
          </w:p>
        </w:tc>
      </w:tr>
      <w:tr w:rsidR="008E3895" w:rsidRPr="00B47061" w14:paraId="156CDDA0" w14:textId="77777777" w:rsidTr="00AB3A4F">
        <w:trPr>
          <w:trHeight w:val="600"/>
        </w:trPr>
        <w:tc>
          <w:tcPr>
            <w:tcW w:w="369" w:type="dxa"/>
            <w:noWrap/>
            <w:vAlign w:val="center"/>
            <w:hideMark/>
          </w:tcPr>
          <w:p w14:paraId="5E534E68" w14:textId="77777777" w:rsidR="008E3895" w:rsidRPr="00B47061" w:rsidRDefault="008E3895" w:rsidP="008E3895">
            <w:pPr>
              <w:spacing w:after="0" w:line="240" w:lineRule="auto"/>
              <w:rPr>
                <w:rFonts w:ascii="Arial Narrow" w:eastAsia="Times New Roman" w:hAnsi="Arial Narrow" w:cs="Arial"/>
                <w:sz w:val="20"/>
                <w:szCs w:val="20"/>
                <w:lang w:eastAsia="en-GB"/>
              </w:rPr>
            </w:pPr>
            <w:proofErr w:type="spellStart"/>
            <w:r w:rsidRPr="00B47061">
              <w:rPr>
                <w:rFonts w:ascii="Arial Narrow" w:eastAsia="Times New Roman" w:hAnsi="Arial Narrow" w:cs="Arial"/>
                <w:sz w:val="20"/>
                <w:szCs w:val="20"/>
                <w:lang w:eastAsia="en-GB"/>
              </w:rPr>
              <w:t>i</w:t>
            </w:r>
            <w:proofErr w:type="spellEnd"/>
          </w:p>
        </w:tc>
        <w:tc>
          <w:tcPr>
            <w:tcW w:w="3629" w:type="dxa"/>
            <w:hideMark/>
          </w:tcPr>
          <w:p w14:paraId="3CF3E2EB" w14:textId="61EA0021"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Mitigating the effect on the environment; </w:t>
            </w:r>
          </w:p>
        </w:tc>
        <w:tc>
          <w:tcPr>
            <w:tcW w:w="1559" w:type="dxa"/>
            <w:noWrap/>
          </w:tcPr>
          <w:p w14:paraId="735523DD" w14:textId="09D8855D"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58EFCEFC" w14:textId="3D9157A2"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noWrap/>
          </w:tcPr>
          <w:p w14:paraId="4ECA97B0" w14:textId="0BDBAB23"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Arial"/>
                <w:sz w:val="20"/>
                <w:szCs w:val="20"/>
              </w:rPr>
              <w:t>N/A</w:t>
            </w:r>
          </w:p>
        </w:tc>
        <w:tc>
          <w:tcPr>
            <w:tcW w:w="3378" w:type="dxa"/>
          </w:tcPr>
          <w:p w14:paraId="02E48FCA" w14:textId="2A322E03"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r>
      <w:tr w:rsidR="008E3895" w:rsidRPr="00B47061" w14:paraId="02F49F8C" w14:textId="77777777" w:rsidTr="00AB3A4F">
        <w:trPr>
          <w:trHeight w:val="600"/>
        </w:trPr>
        <w:tc>
          <w:tcPr>
            <w:tcW w:w="369" w:type="dxa"/>
            <w:noWrap/>
            <w:vAlign w:val="center"/>
            <w:hideMark/>
          </w:tcPr>
          <w:p w14:paraId="0C7F012C"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j</w:t>
            </w:r>
          </w:p>
        </w:tc>
        <w:tc>
          <w:tcPr>
            <w:tcW w:w="3629" w:type="dxa"/>
            <w:hideMark/>
          </w:tcPr>
          <w:p w14:paraId="7F5CA862" w14:textId="3CC0992A"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Enabling operators of trains to utilise their assets efficiently; </w:t>
            </w:r>
          </w:p>
        </w:tc>
        <w:tc>
          <w:tcPr>
            <w:tcW w:w="1559" w:type="dxa"/>
            <w:noWrap/>
          </w:tcPr>
          <w:p w14:paraId="20B4A8AC" w14:textId="21899323"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Yes</w:t>
            </w:r>
          </w:p>
        </w:tc>
        <w:tc>
          <w:tcPr>
            <w:tcW w:w="1418" w:type="dxa"/>
            <w:noWrap/>
          </w:tcPr>
          <w:p w14:paraId="14914593" w14:textId="0A42BEA0"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Medium</w:t>
            </w:r>
          </w:p>
        </w:tc>
        <w:tc>
          <w:tcPr>
            <w:tcW w:w="3827" w:type="dxa"/>
            <w:noWrap/>
          </w:tcPr>
          <w:p w14:paraId="1AEB8435" w14:textId="1B48A64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Calibri"/>
                <w:sz w:val="20"/>
                <w:szCs w:val="20"/>
              </w:rPr>
              <w:t xml:space="preserve">Network Rail acknowledges AWC’s investment in traincrew and rolling stock and accepts that efficient utilisation of assets is a relevant consideration.  </w:t>
            </w:r>
          </w:p>
        </w:tc>
        <w:tc>
          <w:tcPr>
            <w:tcW w:w="3378" w:type="dxa"/>
          </w:tcPr>
          <w:p w14:paraId="256F8C64" w14:textId="7AB15262"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Calibri"/>
                <w:sz w:val="20"/>
                <w:szCs w:val="20"/>
              </w:rPr>
              <w:t xml:space="preserve">In Network Rail’s opinion, the ability to utilise assets efficiently is of lesser importance compared with maintaining network performance. </w:t>
            </w:r>
          </w:p>
          <w:p w14:paraId="6B7F4C70" w14:textId="525FD839" w:rsidR="008E3895" w:rsidRPr="00B47061" w:rsidRDefault="008E3895" w:rsidP="008E3895">
            <w:pPr>
              <w:spacing w:after="0" w:line="240" w:lineRule="auto"/>
              <w:rPr>
                <w:rFonts w:ascii="Arial Narrow" w:hAnsi="Arial Narrow" w:cs="Calibri"/>
                <w:sz w:val="20"/>
                <w:szCs w:val="20"/>
              </w:rPr>
            </w:pPr>
          </w:p>
          <w:p w14:paraId="2426E38F" w14:textId="0689E60B"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Calibri"/>
                <w:sz w:val="20"/>
                <w:szCs w:val="20"/>
              </w:rPr>
              <w:t xml:space="preserve">While ECS movements can be flexed, retimed, or cancelled if required, scheduled passenger services add fixed commitments into an already fragile timetable. </w:t>
            </w:r>
          </w:p>
        </w:tc>
      </w:tr>
      <w:tr w:rsidR="008E3895" w:rsidRPr="00B47061" w14:paraId="3F960104" w14:textId="77777777" w:rsidTr="00AB3A4F">
        <w:trPr>
          <w:trHeight w:val="1020"/>
        </w:trPr>
        <w:tc>
          <w:tcPr>
            <w:tcW w:w="369" w:type="dxa"/>
            <w:noWrap/>
            <w:vAlign w:val="center"/>
            <w:hideMark/>
          </w:tcPr>
          <w:p w14:paraId="7D9972FB"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k</w:t>
            </w:r>
          </w:p>
        </w:tc>
        <w:tc>
          <w:tcPr>
            <w:tcW w:w="3629" w:type="dxa"/>
            <w:hideMark/>
          </w:tcPr>
          <w:p w14:paraId="02DCFF13" w14:textId="520C75A2"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 xml:space="preserve">Avoiding changes, as far as possible, to a Strategic Train Slot other than changes which are consistent with the intended purpose of the Strategic Path to which the Strategic Train Slot relates; and </w:t>
            </w:r>
          </w:p>
        </w:tc>
        <w:tc>
          <w:tcPr>
            <w:tcW w:w="1559" w:type="dxa"/>
            <w:noWrap/>
          </w:tcPr>
          <w:p w14:paraId="73323811" w14:textId="3C861F7B"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hAnsi="Arial Narrow" w:cs="Calibri"/>
                <w:sz w:val="20"/>
                <w:szCs w:val="20"/>
              </w:rPr>
              <w:t>N/A</w:t>
            </w:r>
          </w:p>
        </w:tc>
        <w:tc>
          <w:tcPr>
            <w:tcW w:w="1418" w:type="dxa"/>
            <w:noWrap/>
          </w:tcPr>
          <w:p w14:paraId="0B7D6F6F" w14:textId="00729079"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noWrap/>
          </w:tcPr>
          <w:p w14:paraId="56B15659" w14:textId="461D1CD1"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Arial"/>
                <w:sz w:val="20"/>
                <w:szCs w:val="20"/>
              </w:rPr>
              <w:t>N/A</w:t>
            </w:r>
          </w:p>
        </w:tc>
        <w:tc>
          <w:tcPr>
            <w:tcW w:w="3378" w:type="dxa"/>
          </w:tcPr>
          <w:p w14:paraId="6628A02E" w14:textId="30F06550" w:rsidR="008E3895" w:rsidRPr="00B47061" w:rsidRDefault="008E3895" w:rsidP="008E3895">
            <w:pPr>
              <w:spacing w:after="0" w:line="240" w:lineRule="auto"/>
              <w:rPr>
                <w:rFonts w:ascii="Arial Narrow" w:hAnsi="Arial Narrow" w:cs="Calibri"/>
                <w:sz w:val="20"/>
                <w:szCs w:val="20"/>
              </w:rPr>
            </w:pPr>
            <w:r w:rsidRPr="00B47061">
              <w:rPr>
                <w:rFonts w:ascii="Arial Narrow" w:eastAsia="Times New Roman" w:hAnsi="Arial Narrow" w:cs="Arial"/>
                <w:sz w:val="20"/>
                <w:szCs w:val="20"/>
                <w:lang w:eastAsia="en-GB"/>
              </w:rPr>
              <w:t>N/A</w:t>
            </w:r>
          </w:p>
        </w:tc>
      </w:tr>
      <w:tr w:rsidR="008E3895" w:rsidRPr="00B47061" w14:paraId="133481F9" w14:textId="77777777" w:rsidTr="00AB3A4F">
        <w:trPr>
          <w:trHeight w:val="765"/>
        </w:trPr>
        <w:tc>
          <w:tcPr>
            <w:tcW w:w="369" w:type="dxa"/>
            <w:noWrap/>
            <w:vAlign w:val="center"/>
            <w:hideMark/>
          </w:tcPr>
          <w:p w14:paraId="78B1DD67" w14:textId="77777777"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l</w:t>
            </w:r>
          </w:p>
        </w:tc>
        <w:tc>
          <w:tcPr>
            <w:tcW w:w="3629" w:type="dxa"/>
            <w:hideMark/>
          </w:tcPr>
          <w:p w14:paraId="5A87A849" w14:textId="6769A87C"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No International Freight Train Slot included in section A of an International Freight Capacity Notice shall be changed.</w:t>
            </w:r>
          </w:p>
        </w:tc>
        <w:tc>
          <w:tcPr>
            <w:tcW w:w="1559" w:type="dxa"/>
            <w:noWrap/>
          </w:tcPr>
          <w:p w14:paraId="214FD9B4" w14:textId="4738CC94"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hAnsi="Arial Narrow" w:cs="Calibri"/>
                <w:sz w:val="20"/>
                <w:szCs w:val="20"/>
              </w:rPr>
              <w:t>N/A</w:t>
            </w:r>
          </w:p>
        </w:tc>
        <w:tc>
          <w:tcPr>
            <w:tcW w:w="1418" w:type="dxa"/>
            <w:noWrap/>
          </w:tcPr>
          <w:p w14:paraId="61672C64" w14:textId="13D01CF1" w:rsidR="008E3895" w:rsidRPr="00B47061" w:rsidRDefault="008E3895" w:rsidP="008E3895">
            <w:pPr>
              <w:spacing w:after="0" w:line="240" w:lineRule="auto"/>
              <w:jc w:val="center"/>
              <w:rPr>
                <w:rFonts w:ascii="Arial Narrow" w:eastAsia="Times New Roman" w:hAnsi="Arial Narrow" w:cs="Arial"/>
                <w:sz w:val="20"/>
                <w:szCs w:val="20"/>
                <w:lang w:eastAsia="en-GB"/>
              </w:rPr>
            </w:pPr>
            <w:r w:rsidRPr="00B47061">
              <w:rPr>
                <w:rFonts w:ascii="Arial Narrow" w:eastAsia="Times New Roman" w:hAnsi="Arial Narrow" w:cs="Arial"/>
                <w:sz w:val="20"/>
                <w:szCs w:val="20"/>
                <w:lang w:eastAsia="en-GB"/>
              </w:rPr>
              <w:t>N/A</w:t>
            </w:r>
          </w:p>
        </w:tc>
        <w:tc>
          <w:tcPr>
            <w:tcW w:w="3827" w:type="dxa"/>
            <w:noWrap/>
          </w:tcPr>
          <w:p w14:paraId="1BABCE38" w14:textId="7291F472" w:rsidR="008E3895" w:rsidRPr="00B47061" w:rsidRDefault="008E3895" w:rsidP="008E3895">
            <w:pPr>
              <w:spacing w:after="0" w:line="240" w:lineRule="auto"/>
              <w:rPr>
                <w:rFonts w:ascii="Arial Narrow" w:eastAsia="Times New Roman" w:hAnsi="Arial Narrow" w:cs="Arial"/>
                <w:sz w:val="20"/>
                <w:szCs w:val="20"/>
                <w:lang w:eastAsia="en-GB"/>
              </w:rPr>
            </w:pPr>
            <w:r w:rsidRPr="00B47061">
              <w:rPr>
                <w:rFonts w:ascii="Arial Narrow" w:hAnsi="Arial Narrow" w:cs="Arial"/>
                <w:sz w:val="20"/>
                <w:szCs w:val="20"/>
              </w:rPr>
              <w:t>N/A</w:t>
            </w:r>
          </w:p>
        </w:tc>
        <w:tc>
          <w:tcPr>
            <w:tcW w:w="3378" w:type="dxa"/>
          </w:tcPr>
          <w:p w14:paraId="4E1EEB45" w14:textId="4AC01395" w:rsidR="008E3895" w:rsidRPr="00B47061" w:rsidRDefault="008E3895" w:rsidP="008E3895">
            <w:pPr>
              <w:spacing w:after="0" w:line="240" w:lineRule="auto"/>
              <w:rPr>
                <w:rFonts w:ascii="Arial Narrow" w:hAnsi="Arial Narrow"/>
                <w:sz w:val="20"/>
                <w:szCs w:val="20"/>
              </w:rPr>
            </w:pPr>
            <w:r w:rsidRPr="00B47061">
              <w:rPr>
                <w:rFonts w:ascii="Arial Narrow" w:eastAsia="Times New Roman" w:hAnsi="Arial Narrow" w:cs="Arial"/>
                <w:sz w:val="20"/>
                <w:szCs w:val="20"/>
                <w:lang w:eastAsia="en-GB"/>
              </w:rPr>
              <w:t>N/A</w:t>
            </w:r>
          </w:p>
        </w:tc>
      </w:tr>
      <w:tr w:rsidR="008E3895" w:rsidRPr="00B47061" w14:paraId="5C1CB1EE" w14:textId="77777777" w:rsidTr="006A288F">
        <w:trPr>
          <w:trHeight w:val="585"/>
        </w:trPr>
        <w:tc>
          <w:tcPr>
            <w:tcW w:w="14180" w:type="dxa"/>
            <w:gridSpan w:val="6"/>
            <w:noWrap/>
            <w:vAlign w:val="center"/>
          </w:tcPr>
          <w:p w14:paraId="1B62FF51" w14:textId="5DDEE288" w:rsidR="008E3895" w:rsidRPr="00B47061" w:rsidRDefault="008E3895" w:rsidP="008E3895">
            <w:pPr>
              <w:spacing w:after="0" w:line="240" w:lineRule="auto"/>
              <w:rPr>
                <w:rFonts w:ascii="Arial Narrow" w:eastAsia="Times New Roman" w:hAnsi="Arial Narrow" w:cs="Arial"/>
                <w:b/>
                <w:bCs/>
                <w:sz w:val="20"/>
                <w:szCs w:val="20"/>
                <w:lang w:eastAsia="en-GB"/>
              </w:rPr>
            </w:pPr>
            <w:r w:rsidRPr="00B47061">
              <w:rPr>
                <w:rFonts w:ascii="Arial Narrow" w:eastAsia="Times New Roman" w:hAnsi="Arial Narrow" w:cs="Arial"/>
                <w:b/>
                <w:bCs/>
                <w:sz w:val="20"/>
                <w:szCs w:val="20"/>
                <w:lang w:eastAsia="en-GB"/>
              </w:rPr>
              <w:t xml:space="preserve">Decision Taken: Services will not be accommodated within the December 2025 timetable. </w:t>
            </w:r>
          </w:p>
          <w:p w14:paraId="5447A89F" w14:textId="69B2D8F8" w:rsidR="008E3895" w:rsidRPr="00B47061" w:rsidRDefault="008E3895" w:rsidP="008E3895">
            <w:pPr>
              <w:spacing w:after="0" w:line="240" w:lineRule="auto"/>
              <w:jc w:val="center"/>
              <w:rPr>
                <w:rFonts w:ascii="Arial Narrow" w:eastAsia="Times New Roman" w:hAnsi="Arial Narrow" w:cs="Arial"/>
                <w:sz w:val="20"/>
                <w:szCs w:val="20"/>
                <w:lang w:eastAsia="en-GB"/>
              </w:rPr>
            </w:pPr>
          </w:p>
        </w:tc>
      </w:tr>
    </w:tbl>
    <w:p w14:paraId="53E2CCF4" w14:textId="77777777" w:rsidR="0011044B" w:rsidRPr="00B47061" w:rsidRDefault="0011044B" w:rsidP="0011044B">
      <w:pPr>
        <w:pStyle w:val="Body1"/>
        <w:spacing w:after="120" w:line="240" w:lineRule="atLeast"/>
        <w:rPr>
          <w:rFonts w:ascii="Arial Narrow" w:hAnsi="Arial Narrow" w:cs="Arial"/>
          <w:color w:val="auto"/>
          <w:sz w:val="20"/>
        </w:rPr>
      </w:pPr>
    </w:p>
    <w:p w14:paraId="3EDD9025" w14:textId="75512FC1" w:rsidR="008604DC" w:rsidRPr="00B47061" w:rsidRDefault="00007E84" w:rsidP="006915FE">
      <w:pPr>
        <w:rPr>
          <w:rFonts w:ascii="Arial Narrow" w:hAnsi="Arial Narrow"/>
          <w:sz w:val="20"/>
          <w:szCs w:val="20"/>
        </w:rPr>
      </w:pPr>
      <w:r w:rsidRPr="00B47061">
        <w:rPr>
          <w:rFonts w:ascii="Arial Narrow" w:hAnsi="Arial Narrow"/>
          <w:sz w:val="20"/>
          <w:szCs w:val="20"/>
        </w:rPr>
        <w:t xml:space="preserve">Having considered all of the above and as detailed in </w:t>
      </w:r>
      <w:r w:rsidR="002D0573" w:rsidRPr="00B47061">
        <w:rPr>
          <w:rFonts w:ascii="Arial Narrow" w:hAnsi="Arial Narrow"/>
          <w:sz w:val="20"/>
          <w:szCs w:val="20"/>
        </w:rPr>
        <w:t xml:space="preserve">Condition </w:t>
      </w:r>
      <w:r w:rsidRPr="00B47061">
        <w:rPr>
          <w:rFonts w:ascii="Arial Narrow" w:hAnsi="Arial Narrow"/>
          <w:sz w:val="20"/>
          <w:szCs w:val="20"/>
        </w:rPr>
        <w:t>D4.6.2, Network Rail submits that the decision to</w:t>
      </w:r>
      <w:r w:rsidR="7D3D0247" w:rsidRPr="00B47061">
        <w:rPr>
          <w:rFonts w:ascii="Arial Narrow" w:hAnsi="Arial Narrow"/>
          <w:sz w:val="20"/>
          <w:szCs w:val="20"/>
        </w:rPr>
        <w:t xml:space="preserve"> not include these services into the December 2025 timetable</w:t>
      </w:r>
      <w:r w:rsidR="00AB3A4F" w:rsidRPr="00B47061">
        <w:rPr>
          <w:rFonts w:ascii="Arial Narrow" w:hAnsi="Arial Narrow"/>
          <w:sz w:val="20"/>
          <w:szCs w:val="20"/>
        </w:rPr>
        <w:t xml:space="preserve"> is </w:t>
      </w:r>
      <w:r w:rsidRPr="00B47061">
        <w:rPr>
          <w:rFonts w:ascii="Arial Narrow" w:hAnsi="Arial Narrow"/>
          <w:sz w:val="20"/>
          <w:szCs w:val="20"/>
        </w:rPr>
        <w:t xml:space="preserve">justified by reference to the Network Code and supports the </w:t>
      </w:r>
      <w:r w:rsidR="00AB3A4F" w:rsidRPr="00B47061">
        <w:rPr>
          <w:rFonts w:ascii="Arial Narrow" w:hAnsi="Arial Narrow"/>
          <w:sz w:val="20"/>
          <w:szCs w:val="20"/>
        </w:rPr>
        <w:t>O</w:t>
      </w:r>
      <w:r w:rsidRPr="00B47061">
        <w:rPr>
          <w:rFonts w:ascii="Arial Narrow" w:hAnsi="Arial Narrow"/>
          <w:sz w:val="20"/>
          <w:szCs w:val="20"/>
        </w:rPr>
        <w:t xml:space="preserve">bjective as detailed within </w:t>
      </w:r>
      <w:r w:rsidR="002D0573" w:rsidRPr="00B47061">
        <w:rPr>
          <w:rFonts w:ascii="Arial Narrow" w:hAnsi="Arial Narrow"/>
          <w:sz w:val="20"/>
          <w:szCs w:val="20"/>
        </w:rPr>
        <w:t xml:space="preserve">Condition </w:t>
      </w:r>
      <w:r w:rsidRPr="00B47061">
        <w:rPr>
          <w:rFonts w:ascii="Arial Narrow" w:hAnsi="Arial Narrow"/>
          <w:sz w:val="20"/>
          <w:szCs w:val="20"/>
        </w:rPr>
        <w:t>D4.6.1 to assist in achieving the safe carriage of passengers and goods in the most efficient and economical manner in the overall interest of current and prospective users and providers of the railway service.</w:t>
      </w:r>
    </w:p>
    <w:p w14:paraId="54EFBDAC" w14:textId="77777777" w:rsidR="008604DC" w:rsidRPr="00B47061" w:rsidRDefault="008604DC" w:rsidP="006915FE">
      <w:pPr>
        <w:rPr>
          <w:rFonts w:ascii="Network Rail Sans" w:hAnsi="Network Rail Sans"/>
        </w:rPr>
      </w:pPr>
    </w:p>
    <w:p w14:paraId="0C4C4E59" w14:textId="77777777" w:rsidR="008604DC" w:rsidRPr="00B47061" w:rsidRDefault="008604DC" w:rsidP="006915FE">
      <w:pPr>
        <w:rPr>
          <w:rFonts w:ascii="Network Rail Sans" w:hAnsi="Network Rail Sans"/>
        </w:rPr>
      </w:pPr>
    </w:p>
    <w:p w14:paraId="66665E28" w14:textId="77777777" w:rsidR="008604DC" w:rsidRPr="00B47061" w:rsidRDefault="008604DC" w:rsidP="006915FE">
      <w:pPr>
        <w:rPr>
          <w:rFonts w:ascii="Network Rail Sans" w:hAnsi="Network Rail Sans"/>
        </w:rPr>
      </w:pPr>
    </w:p>
    <w:bookmarkEnd w:id="0"/>
    <w:p w14:paraId="5D557FCE" w14:textId="77777777" w:rsidR="008604DC" w:rsidRPr="00B47061" w:rsidRDefault="008604DC" w:rsidP="006915FE">
      <w:pPr>
        <w:rPr>
          <w:rFonts w:ascii="Network Rail Sans" w:hAnsi="Network Rail Sans"/>
        </w:rPr>
      </w:pPr>
    </w:p>
    <w:sectPr w:rsidR="008604DC" w:rsidRPr="00B47061" w:rsidSect="008F5BDF">
      <w:headerReference w:type="even" r:id="rId12"/>
      <w:headerReference w:type="default" r:id="rId13"/>
      <w:footerReference w:type="even" r:id="rId14"/>
      <w:footerReference w:type="default" r:id="rId15"/>
      <w:headerReference w:type="first" r:id="rId16"/>
      <w:footerReference w:type="first" r:id="rId17"/>
      <w:pgSz w:w="16838" w:h="23811"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AC2AA" w14:textId="77777777" w:rsidR="00A37B93" w:rsidRDefault="00A37B93">
      <w:pPr>
        <w:spacing w:after="0" w:line="240" w:lineRule="auto"/>
      </w:pPr>
      <w:r>
        <w:separator/>
      </w:r>
    </w:p>
  </w:endnote>
  <w:endnote w:type="continuationSeparator" w:id="0">
    <w:p w14:paraId="45C6F2D2" w14:textId="77777777" w:rsidR="00A37B93" w:rsidRDefault="00A37B93">
      <w:pPr>
        <w:spacing w:after="0" w:line="240" w:lineRule="auto"/>
      </w:pPr>
      <w:r>
        <w:continuationSeparator/>
      </w:r>
    </w:p>
  </w:endnote>
  <w:endnote w:type="continuationNotice" w:id="1">
    <w:p w14:paraId="48F2F01B" w14:textId="77777777" w:rsidR="00A37B93" w:rsidRDefault="00A37B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Network Rail Sans">
    <w:charset w:val="00"/>
    <w:family w:val="auto"/>
    <w:pitch w:val="variable"/>
    <w:sig w:usb0="A00000AF" w:usb1="5000204A" w:usb2="00000000" w:usb3="00000000" w:csb0="0000009B" w:csb1="00000000"/>
  </w:font>
  <w:font w:name="Arial Narrow">
    <w:altName w:val="Arial"/>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386" w14:textId="77777777" w:rsidR="00B0041F" w:rsidRDefault="00B00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9"/>
      <w:gridCol w:w="3489"/>
      <w:gridCol w:w="3489"/>
    </w:tblGrid>
    <w:tr w:rsidR="3323D821" w14:paraId="16D7127C" w14:textId="77777777" w:rsidTr="3323D821">
      <w:tc>
        <w:tcPr>
          <w:tcW w:w="3489" w:type="dxa"/>
        </w:tcPr>
        <w:p w14:paraId="65592838" w14:textId="172EF692" w:rsidR="3323D821" w:rsidRDefault="3323D821" w:rsidP="3323D821">
          <w:pPr>
            <w:pStyle w:val="Header"/>
            <w:ind w:left="-115"/>
          </w:pPr>
        </w:p>
      </w:tc>
      <w:tc>
        <w:tcPr>
          <w:tcW w:w="3489" w:type="dxa"/>
        </w:tcPr>
        <w:p w14:paraId="33C7FD0C" w14:textId="75C8D2C7" w:rsidR="3323D821" w:rsidRDefault="3323D821" w:rsidP="3323D821">
          <w:pPr>
            <w:pStyle w:val="Header"/>
            <w:jc w:val="center"/>
          </w:pPr>
        </w:p>
      </w:tc>
      <w:tc>
        <w:tcPr>
          <w:tcW w:w="3489" w:type="dxa"/>
        </w:tcPr>
        <w:p w14:paraId="605E8689" w14:textId="3832A813" w:rsidR="3323D821" w:rsidRDefault="3323D821" w:rsidP="3323D821">
          <w:pPr>
            <w:pStyle w:val="Header"/>
            <w:ind w:right="-115"/>
            <w:jc w:val="right"/>
          </w:pPr>
        </w:p>
      </w:tc>
    </w:tr>
  </w:tbl>
  <w:p w14:paraId="428BAA22" w14:textId="773A4EBD" w:rsidR="3323D821" w:rsidRDefault="3323D821" w:rsidP="3323D8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06325" w14:textId="77777777" w:rsidR="00B0041F" w:rsidRDefault="00B00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91013" w14:textId="77777777" w:rsidR="00A37B93" w:rsidRDefault="00A37B93">
      <w:pPr>
        <w:spacing w:after="0" w:line="240" w:lineRule="auto"/>
      </w:pPr>
      <w:r>
        <w:separator/>
      </w:r>
    </w:p>
  </w:footnote>
  <w:footnote w:type="continuationSeparator" w:id="0">
    <w:p w14:paraId="4CB551C6" w14:textId="77777777" w:rsidR="00A37B93" w:rsidRDefault="00A37B93">
      <w:pPr>
        <w:spacing w:after="0" w:line="240" w:lineRule="auto"/>
      </w:pPr>
      <w:r>
        <w:continuationSeparator/>
      </w:r>
    </w:p>
  </w:footnote>
  <w:footnote w:type="continuationNotice" w:id="1">
    <w:p w14:paraId="4F958076" w14:textId="77777777" w:rsidR="00A37B93" w:rsidRDefault="00A37B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DDA50" w14:textId="77777777" w:rsidR="00B0041F" w:rsidRDefault="00B00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9"/>
      <w:gridCol w:w="3489"/>
      <w:gridCol w:w="3489"/>
    </w:tblGrid>
    <w:tr w:rsidR="3323D821" w14:paraId="0159294D" w14:textId="77777777" w:rsidTr="3323D821">
      <w:tc>
        <w:tcPr>
          <w:tcW w:w="3489" w:type="dxa"/>
        </w:tcPr>
        <w:p w14:paraId="7C4F0270" w14:textId="51F093BA" w:rsidR="3323D821" w:rsidRDefault="00B0041F" w:rsidP="3323D821">
          <w:pPr>
            <w:pStyle w:val="Header"/>
            <w:ind w:left="-115"/>
          </w:pPr>
          <w:r>
            <w:rPr>
              <w:noProof/>
            </w:rPr>
            <mc:AlternateContent>
              <mc:Choice Requires="wps">
                <w:drawing>
                  <wp:anchor distT="0" distB="0" distL="114300" distR="114300" simplePos="0" relativeHeight="251658240" behindDoc="0" locked="0" layoutInCell="0" allowOverlap="1" wp14:anchorId="15601B78" wp14:editId="13BED627">
                    <wp:simplePos x="0" y="0"/>
                    <wp:positionH relativeFrom="page">
                      <wp:posOffset>0</wp:posOffset>
                    </wp:positionH>
                    <wp:positionV relativeFrom="page">
                      <wp:posOffset>190500</wp:posOffset>
                    </wp:positionV>
                    <wp:extent cx="10692130" cy="273050"/>
                    <wp:effectExtent l="0" t="0" r="0" b="12700"/>
                    <wp:wrapNone/>
                    <wp:docPr id="2" name="MSIPCMf5d147b69e845977236e3c55" descr="{&quot;HashCode&quot;:-1288984879,&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9D6C18" w14:textId="6EE04C4E" w:rsidR="00B0041F" w:rsidRPr="00B0041F" w:rsidRDefault="00B0041F" w:rsidP="00B0041F">
                                <w:pPr>
                                  <w:spacing w:after="0"/>
                                  <w:jc w:val="center"/>
                                  <w:rPr>
                                    <w:rFonts w:ascii="Calibri" w:hAnsi="Calibri"/>
                                    <w:color w:val="000000"/>
                                    <w:sz w:val="20"/>
                                  </w:rPr>
                                </w:pPr>
                                <w:r w:rsidRPr="00B0041F">
                                  <w:rPr>
                                    <w:rFonts w:ascii="Calibri" w:hAnsi="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5601B78" id="_x0000_t202" coordsize="21600,21600" o:spt="202" path="m,l,21600r21600,l21600,xe">
                    <v:stroke joinstyle="miter"/>
                    <v:path gradientshapeok="t" o:connecttype="rect"/>
                  </v:shapetype>
                  <v:shape id="MSIPCMf5d147b69e845977236e3c55" o:spid="_x0000_s1026" type="#_x0000_t202" alt="{&quot;HashCode&quot;:-1288984879,&quot;Height&quot;:595.0,&quot;Width&quot;:841.0,&quot;Placement&quot;:&quot;Header&quot;,&quot;Index&quot;:&quot;Primary&quot;,&quot;Section&quot;:1,&quot;Top&quot;:0.0,&quot;Left&quot;:0.0}" style="position:absolute;left:0;text-align:left;margin-left:0;margin-top:15pt;width:841.9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55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" o:allowincell="f" filled="f" stroked="f" strokeweight=".5pt">
                    <v:textbox inset=",0,,0">
                      <w:txbxContent>
                        <w:p w14:paraId="1D9D6C18" w14:textId="6EE04C4E" w:rsidR="00B0041F" w:rsidRPr="00B0041F" w:rsidRDefault="00B0041F" w:rsidP="00B0041F">
                          <w:pPr>
                            <w:spacing w:after="0"/>
                            <w:jc w:val="center"/>
                            <w:rPr>
                              <w:rFonts w:ascii="Calibri" w:hAnsi="Calibri"/>
                              <w:color w:val="000000"/>
                              <w:sz w:val="20"/>
                            </w:rPr>
                          </w:pPr>
                          <w:r w:rsidRPr="00B0041F">
                            <w:rPr>
                              <w:rFonts w:ascii="Calibri" w:hAnsi="Calibri"/>
                              <w:color w:val="000000"/>
                              <w:sz w:val="20"/>
                            </w:rPr>
                            <w:t>OFFICIAL</w:t>
                          </w:r>
                        </w:p>
                      </w:txbxContent>
                    </v:textbox>
                    <w10:wrap anchorx="page" anchory="page"/>
                  </v:shape>
                </w:pict>
              </mc:Fallback>
            </mc:AlternateContent>
          </w:r>
        </w:p>
      </w:tc>
      <w:tc>
        <w:tcPr>
          <w:tcW w:w="3489" w:type="dxa"/>
        </w:tcPr>
        <w:p w14:paraId="2AB4C70B" w14:textId="2FEBF24C" w:rsidR="3323D821" w:rsidRDefault="3323D821" w:rsidP="3323D821">
          <w:pPr>
            <w:pStyle w:val="Header"/>
            <w:jc w:val="center"/>
          </w:pPr>
        </w:p>
      </w:tc>
      <w:tc>
        <w:tcPr>
          <w:tcW w:w="3489" w:type="dxa"/>
        </w:tcPr>
        <w:p w14:paraId="4CBF63D3" w14:textId="469407C0" w:rsidR="3323D821" w:rsidRDefault="3323D821" w:rsidP="3323D821">
          <w:pPr>
            <w:pStyle w:val="Header"/>
            <w:ind w:right="-115"/>
            <w:jc w:val="right"/>
          </w:pPr>
        </w:p>
      </w:tc>
    </w:tr>
  </w:tbl>
  <w:p w14:paraId="7D77D130" w14:textId="759962B8" w:rsidR="3323D821" w:rsidRDefault="3323D821" w:rsidP="3323D8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3450" w14:textId="77777777" w:rsidR="00B0041F" w:rsidRDefault="00B00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97360"/>
    <w:multiLevelType w:val="hybridMultilevel"/>
    <w:tmpl w:val="F350E7E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50B1B"/>
    <w:multiLevelType w:val="hybridMultilevel"/>
    <w:tmpl w:val="538A2C8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 w15:restartNumberingAfterBreak="0">
    <w:nsid w:val="0DAB7858"/>
    <w:multiLevelType w:val="hybridMultilevel"/>
    <w:tmpl w:val="4C1C5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C46A0F"/>
    <w:multiLevelType w:val="hybridMultilevel"/>
    <w:tmpl w:val="6CD0FEA8"/>
    <w:lvl w:ilvl="0" w:tplc="816CA7C2">
      <w:start w:val="5"/>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420231"/>
    <w:multiLevelType w:val="hybridMultilevel"/>
    <w:tmpl w:val="A04E52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830B5C"/>
    <w:multiLevelType w:val="hybridMultilevel"/>
    <w:tmpl w:val="2798530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24854E79"/>
    <w:multiLevelType w:val="hybridMultilevel"/>
    <w:tmpl w:val="E20A2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643632"/>
    <w:multiLevelType w:val="hybridMultilevel"/>
    <w:tmpl w:val="A47A5DDC"/>
    <w:lvl w:ilvl="0" w:tplc="08090003">
      <w:start w:val="1"/>
      <w:numFmt w:val="bullet"/>
      <w:lvlText w:val="o"/>
      <w:lvlJc w:val="left"/>
      <w:pPr>
        <w:ind w:left="720" w:hanging="360"/>
      </w:pPr>
      <w:rPr>
        <w:rFonts w:ascii="Courier New" w:hAnsi="Courier New" w:cs="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885AC2"/>
    <w:multiLevelType w:val="hybridMultilevel"/>
    <w:tmpl w:val="01685F06"/>
    <w:lvl w:ilvl="0" w:tplc="CABE97AA">
      <w:start w:val="5"/>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497941"/>
    <w:multiLevelType w:val="hybridMultilevel"/>
    <w:tmpl w:val="1B76E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550C3A"/>
    <w:multiLevelType w:val="hybridMultilevel"/>
    <w:tmpl w:val="8042F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EF5430"/>
    <w:multiLevelType w:val="hybridMultilevel"/>
    <w:tmpl w:val="8240731C"/>
    <w:lvl w:ilvl="0" w:tplc="665A2802">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0F6D6A"/>
    <w:multiLevelType w:val="hybridMultilevel"/>
    <w:tmpl w:val="9E140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CA0F4C"/>
    <w:multiLevelType w:val="hybridMultilevel"/>
    <w:tmpl w:val="4B72B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0D33FE"/>
    <w:multiLevelType w:val="hybridMultilevel"/>
    <w:tmpl w:val="B5B8E7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4663226">
    <w:abstractNumId w:val="2"/>
  </w:num>
  <w:num w:numId="2" w16cid:durableId="1331172914">
    <w:abstractNumId w:val="12"/>
  </w:num>
  <w:num w:numId="3" w16cid:durableId="1981030742">
    <w:abstractNumId w:val="8"/>
  </w:num>
  <w:num w:numId="4" w16cid:durableId="1242250719">
    <w:abstractNumId w:val="3"/>
  </w:num>
  <w:num w:numId="5" w16cid:durableId="579021066">
    <w:abstractNumId w:val="4"/>
  </w:num>
  <w:num w:numId="6" w16cid:durableId="655885229">
    <w:abstractNumId w:val="11"/>
  </w:num>
  <w:num w:numId="7" w16cid:durableId="156306705">
    <w:abstractNumId w:val="9"/>
  </w:num>
  <w:num w:numId="8" w16cid:durableId="1086150090">
    <w:abstractNumId w:val="10"/>
  </w:num>
  <w:num w:numId="9" w16cid:durableId="987053137">
    <w:abstractNumId w:val="5"/>
  </w:num>
  <w:num w:numId="10" w16cid:durableId="797138412">
    <w:abstractNumId w:val="7"/>
  </w:num>
  <w:num w:numId="11" w16cid:durableId="1729182871">
    <w:abstractNumId w:val="0"/>
  </w:num>
  <w:num w:numId="12" w16cid:durableId="20673356">
    <w:abstractNumId w:val="13"/>
  </w:num>
  <w:num w:numId="13" w16cid:durableId="726075890">
    <w:abstractNumId w:val="1"/>
  </w:num>
  <w:num w:numId="14" w16cid:durableId="1128597">
    <w:abstractNumId w:val="6"/>
  </w:num>
  <w:num w:numId="15" w16cid:durableId="19877800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FE"/>
    <w:rsid w:val="00000C0E"/>
    <w:rsid w:val="00007E84"/>
    <w:rsid w:val="00010BF1"/>
    <w:rsid w:val="0001433A"/>
    <w:rsid w:val="000228B6"/>
    <w:rsid w:val="00023C3D"/>
    <w:rsid w:val="000246E7"/>
    <w:rsid w:val="00024F8E"/>
    <w:rsid w:val="0002623C"/>
    <w:rsid w:val="00040DA1"/>
    <w:rsid w:val="00042DB6"/>
    <w:rsid w:val="00046E6F"/>
    <w:rsid w:val="00061EB5"/>
    <w:rsid w:val="000634D8"/>
    <w:rsid w:val="00064616"/>
    <w:rsid w:val="00067D72"/>
    <w:rsid w:val="00071B86"/>
    <w:rsid w:val="00076779"/>
    <w:rsid w:val="000821CA"/>
    <w:rsid w:val="00082EF3"/>
    <w:rsid w:val="00084354"/>
    <w:rsid w:val="00085257"/>
    <w:rsid w:val="00085392"/>
    <w:rsid w:val="00086345"/>
    <w:rsid w:val="00087015"/>
    <w:rsid w:val="00092EA9"/>
    <w:rsid w:val="000B2310"/>
    <w:rsid w:val="000B340D"/>
    <w:rsid w:val="000C35A0"/>
    <w:rsid w:val="000C773D"/>
    <w:rsid w:val="000C7D1D"/>
    <w:rsid w:val="000D052A"/>
    <w:rsid w:val="000D05E9"/>
    <w:rsid w:val="000D23B9"/>
    <w:rsid w:val="000D4AAF"/>
    <w:rsid w:val="000D5253"/>
    <w:rsid w:val="000E1573"/>
    <w:rsid w:val="000E79D3"/>
    <w:rsid w:val="000F45F5"/>
    <w:rsid w:val="000F482C"/>
    <w:rsid w:val="00102F0B"/>
    <w:rsid w:val="0011044B"/>
    <w:rsid w:val="001148EF"/>
    <w:rsid w:val="00122E21"/>
    <w:rsid w:val="00144845"/>
    <w:rsid w:val="0014646C"/>
    <w:rsid w:val="00151245"/>
    <w:rsid w:val="00154265"/>
    <w:rsid w:val="001624EC"/>
    <w:rsid w:val="001645CA"/>
    <w:rsid w:val="00181049"/>
    <w:rsid w:val="00183E71"/>
    <w:rsid w:val="00191B1F"/>
    <w:rsid w:val="00193654"/>
    <w:rsid w:val="00193E81"/>
    <w:rsid w:val="001953F9"/>
    <w:rsid w:val="001956E7"/>
    <w:rsid w:val="001A0F67"/>
    <w:rsid w:val="001A70C1"/>
    <w:rsid w:val="001B0A6F"/>
    <w:rsid w:val="001B3BFF"/>
    <w:rsid w:val="001C2307"/>
    <w:rsid w:val="001D050F"/>
    <w:rsid w:val="001D34DD"/>
    <w:rsid w:val="001D3AD2"/>
    <w:rsid w:val="001D783E"/>
    <w:rsid w:val="001E57EE"/>
    <w:rsid w:val="001E614C"/>
    <w:rsid w:val="001F4FA2"/>
    <w:rsid w:val="001F6E8B"/>
    <w:rsid w:val="0020061F"/>
    <w:rsid w:val="00211F5B"/>
    <w:rsid w:val="00212420"/>
    <w:rsid w:val="00217E53"/>
    <w:rsid w:val="00217EDB"/>
    <w:rsid w:val="00224ED8"/>
    <w:rsid w:val="0022586E"/>
    <w:rsid w:val="00225D91"/>
    <w:rsid w:val="0023042E"/>
    <w:rsid w:val="002311EE"/>
    <w:rsid w:val="0023535F"/>
    <w:rsid w:val="00236A7B"/>
    <w:rsid w:val="00240171"/>
    <w:rsid w:val="00244A5F"/>
    <w:rsid w:val="00251A7F"/>
    <w:rsid w:val="00263D75"/>
    <w:rsid w:val="00264B55"/>
    <w:rsid w:val="00264E7B"/>
    <w:rsid w:val="00266F33"/>
    <w:rsid w:val="00273751"/>
    <w:rsid w:val="00282B5E"/>
    <w:rsid w:val="00285D10"/>
    <w:rsid w:val="00286F61"/>
    <w:rsid w:val="002905DB"/>
    <w:rsid w:val="00291D05"/>
    <w:rsid w:val="002A56E6"/>
    <w:rsid w:val="002A667E"/>
    <w:rsid w:val="002B0644"/>
    <w:rsid w:val="002B171D"/>
    <w:rsid w:val="002B1D79"/>
    <w:rsid w:val="002C30EC"/>
    <w:rsid w:val="002C3439"/>
    <w:rsid w:val="002D0573"/>
    <w:rsid w:val="002D2C4F"/>
    <w:rsid w:val="002D2D96"/>
    <w:rsid w:val="002D4186"/>
    <w:rsid w:val="002E3DFC"/>
    <w:rsid w:val="002E4563"/>
    <w:rsid w:val="00305E7B"/>
    <w:rsid w:val="0031537E"/>
    <w:rsid w:val="00325831"/>
    <w:rsid w:val="00326D68"/>
    <w:rsid w:val="00331DA6"/>
    <w:rsid w:val="00332A48"/>
    <w:rsid w:val="00332C1E"/>
    <w:rsid w:val="00342D5D"/>
    <w:rsid w:val="003439AD"/>
    <w:rsid w:val="00344197"/>
    <w:rsid w:val="00353936"/>
    <w:rsid w:val="00355295"/>
    <w:rsid w:val="00362CA3"/>
    <w:rsid w:val="00367010"/>
    <w:rsid w:val="00393B4C"/>
    <w:rsid w:val="003A287B"/>
    <w:rsid w:val="003A5D21"/>
    <w:rsid w:val="003A7181"/>
    <w:rsid w:val="003B2B9F"/>
    <w:rsid w:val="003B37DC"/>
    <w:rsid w:val="003B3BE7"/>
    <w:rsid w:val="003C6BE4"/>
    <w:rsid w:val="003D13AF"/>
    <w:rsid w:val="003D2443"/>
    <w:rsid w:val="003D31FA"/>
    <w:rsid w:val="003D4A3C"/>
    <w:rsid w:val="003E1A93"/>
    <w:rsid w:val="003E1D4D"/>
    <w:rsid w:val="003E2C23"/>
    <w:rsid w:val="003E62E9"/>
    <w:rsid w:val="003F091C"/>
    <w:rsid w:val="003F1462"/>
    <w:rsid w:val="003F21C0"/>
    <w:rsid w:val="003F7AF7"/>
    <w:rsid w:val="0040224D"/>
    <w:rsid w:val="00404D61"/>
    <w:rsid w:val="00406635"/>
    <w:rsid w:val="00414C21"/>
    <w:rsid w:val="00415D3D"/>
    <w:rsid w:val="00416496"/>
    <w:rsid w:val="004225AA"/>
    <w:rsid w:val="004364E8"/>
    <w:rsid w:val="00437023"/>
    <w:rsid w:val="00437E3F"/>
    <w:rsid w:val="004404F9"/>
    <w:rsid w:val="00442016"/>
    <w:rsid w:val="004430FD"/>
    <w:rsid w:val="00443959"/>
    <w:rsid w:val="004465F1"/>
    <w:rsid w:val="00447B69"/>
    <w:rsid w:val="004511D4"/>
    <w:rsid w:val="0045211C"/>
    <w:rsid w:val="004602D6"/>
    <w:rsid w:val="00470CB6"/>
    <w:rsid w:val="00471217"/>
    <w:rsid w:val="004937E6"/>
    <w:rsid w:val="00494959"/>
    <w:rsid w:val="00496538"/>
    <w:rsid w:val="004977D1"/>
    <w:rsid w:val="004A0893"/>
    <w:rsid w:val="004A10C0"/>
    <w:rsid w:val="004A2C44"/>
    <w:rsid w:val="004A351D"/>
    <w:rsid w:val="004C611E"/>
    <w:rsid w:val="004E0331"/>
    <w:rsid w:val="004E6459"/>
    <w:rsid w:val="004E7083"/>
    <w:rsid w:val="004F0660"/>
    <w:rsid w:val="004F0A2D"/>
    <w:rsid w:val="004F52EB"/>
    <w:rsid w:val="005049B5"/>
    <w:rsid w:val="00505CCA"/>
    <w:rsid w:val="00505FE4"/>
    <w:rsid w:val="0050675B"/>
    <w:rsid w:val="00514FC0"/>
    <w:rsid w:val="0052236F"/>
    <w:rsid w:val="00532EEC"/>
    <w:rsid w:val="00533529"/>
    <w:rsid w:val="0053426D"/>
    <w:rsid w:val="005413B1"/>
    <w:rsid w:val="00553296"/>
    <w:rsid w:val="00555EB3"/>
    <w:rsid w:val="005606CF"/>
    <w:rsid w:val="00562C3D"/>
    <w:rsid w:val="005671A1"/>
    <w:rsid w:val="00567BA7"/>
    <w:rsid w:val="00597ED7"/>
    <w:rsid w:val="005A1CC2"/>
    <w:rsid w:val="005A3AAD"/>
    <w:rsid w:val="005A4126"/>
    <w:rsid w:val="005A69E3"/>
    <w:rsid w:val="005B4083"/>
    <w:rsid w:val="005C0761"/>
    <w:rsid w:val="005C164B"/>
    <w:rsid w:val="005C2FFC"/>
    <w:rsid w:val="005C7E93"/>
    <w:rsid w:val="005D33F9"/>
    <w:rsid w:val="005E0550"/>
    <w:rsid w:val="005E1BF5"/>
    <w:rsid w:val="005E5119"/>
    <w:rsid w:val="005E6064"/>
    <w:rsid w:val="005F06F0"/>
    <w:rsid w:val="005F0925"/>
    <w:rsid w:val="005F1AFB"/>
    <w:rsid w:val="005F4148"/>
    <w:rsid w:val="00601059"/>
    <w:rsid w:val="00607A46"/>
    <w:rsid w:val="00612CD7"/>
    <w:rsid w:val="00621C77"/>
    <w:rsid w:val="0062637D"/>
    <w:rsid w:val="00626F7C"/>
    <w:rsid w:val="0062718A"/>
    <w:rsid w:val="00627E91"/>
    <w:rsid w:val="0064158F"/>
    <w:rsid w:val="00641BDA"/>
    <w:rsid w:val="00642BC7"/>
    <w:rsid w:val="006431BD"/>
    <w:rsid w:val="00643BF2"/>
    <w:rsid w:val="00646EF9"/>
    <w:rsid w:val="00652251"/>
    <w:rsid w:val="006559C7"/>
    <w:rsid w:val="00656D2F"/>
    <w:rsid w:val="00663B1A"/>
    <w:rsid w:val="00671E2A"/>
    <w:rsid w:val="00672AB9"/>
    <w:rsid w:val="0068162A"/>
    <w:rsid w:val="0068274F"/>
    <w:rsid w:val="00686645"/>
    <w:rsid w:val="00686F7B"/>
    <w:rsid w:val="006915FE"/>
    <w:rsid w:val="00691D2A"/>
    <w:rsid w:val="006940B6"/>
    <w:rsid w:val="006A04FE"/>
    <w:rsid w:val="006A0611"/>
    <w:rsid w:val="006A288F"/>
    <w:rsid w:val="006A512A"/>
    <w:rsid w:val="006A5B35"/>
    <w:rsid w:val="006A68FE"/>
    <w:rsid w:val="006B2726"/>
    <w:rsid w:val="006B6889"/>
    <w:rsid w:val="006C4BFC"/>
    <w:rsid w:val="006D10F1"/>
    <w:rsid w:val="006D42DC"/>
    <w:rsid w:val="006F4714"/>
    <w:rsid w:val="00704DA7"/>
    <w:rsid w:val="0070605A"/>
    <w:rsid w:val="00706363"/>
    <w:rsid w:val="00711261"/>
    <w:rsid w:val="007233F7"/>
    <w:rsid w:val="0074159F"/>
    <w:rsid w:val="0075224D"/>
    <w:rsid w:val="00753747"/>
    <w:rsid w:val="007557C3"/>
    <w:rsid w:val="00755B61"/>
    <w:rsid w:val="00757D1A"/>
    <w:rsid w:val="00761DC4"/>
    <w:rsid w:val="007639C7"/>
    <w:rsid w:val="00763F60"/>
    <w:rsid w:val="00764254"/>
    <w:rsid w:val="00765D36"/>
    <w:rsid w:val="00774B0B"/>
    <w:rsid w:val="00775E47"/>
    <w:rsid w:val="007803AC"/>
    <w:rsid w:val="007826CB"/>
    <w:rsid w:val="00782ABE"/>
    <w:rsid w:val="00783EA9"/>
    <w:rsid w:val="00786DFE"/>
    <w:rsid w:val="007904E7"/>
    <w:rsid w:val="007910AF"/>
    <w:rsid w:val="00793BCD"/>
    <w:rsid w:val="00794312"/>
    <w:rsid w:val="007956A6"/>
    <w:rsid w:val="007A7EFA"/>
    <w:rsid w:val="007B0007"/>
    <w:rsid w:val="007B2D52"/>
    <w:rsid w:val="007B542F"/>
    <w:rsid w:val="007C2FBF"/>
    <w:rsid w:val="007C6B93"/>
    <w:rsid w:val="007D523A"/>
    <w:rsid w:val="007D575E"/>
    <w:rsid w:val="007E17C0"/>
    <w:rsid w:val="007E2E0C"/>
    <w:rsid w:val="007E5D4F"/>
    <w:rsid w:val="007E6D84"/>
    <w:rsid w:val="007F0D5F"/>
    <w:rsid w:val="007F2492"/>
    <w:rsid w:val="007F2E74"/>
    <w:rsid w:val="007F5FE0"/>
    <w:rsid w:val="008034C7"/>
    <w:rsid w:val="008069F5"/>
    <w:rsid w:val="00811637"/>
    <w:rsid w:val="008202AD"/>
    <w:rsid w:val="00821033"/>
    <w:rsid w:val="00823A60"/>
    <w:rsid w:val="00824868"/>
    <w:rsid w:val="00825D5E"/>
    <w:rsid w:val="00827A9A"/>
    <w:rsid w:val="00835181"/>
    <w:rsid w:val="008505E7"/>
    <w:rsid w:val="00850719"/>
    <w:rsid w:val="008549AB"/>
    <w:rsid w:val="008550A3"/>
    <w:rsid w:val="0085516B"/>
    <w:rsid w:val="008604DC"/>
    <w:rsid w:val="00860A94"/>
    <w:rsid w:val="00861788"/>
    <w:rsid w:val="00863BD1"/>
    <w:rsid w:val="00865C13"/>
    <w:rsid w:val="0086643D"/>
    <w:rsid w:val="0087458A"/>
    <w:rsid w:val="00877CC7"/>
    <w:rsid w:val="00883FD3"/>
    <w:rsid w:val="00887CF9"/>
    <w:rsid w:val="00893219"/>
    <w:rsid w:val="008A1D0F"/>
    <w:rsid w:val="008A7393"/>
    <w:rsid w:val="008B7F61"/>
    <w:rsid w:val="008C3454"/>
    <w:rsid w:val="008C4B20"/>
    <w:rsid w:val="008C58C4"/>
    <w:rsid w:val="008D2EC3"/>
    <w:rsid w:val="008D5F53"/>
    <w:rsid w:val="008E1A4C"/>
    <w:rsid w:val="008E3895"/>
    <w:rsid w:val="008E3A5E"/>
    <w:rsid w:val="008F03CE"/>
    <w:rsid w:val="008F3A35"/>
    <w:rsid w:val="008F3CA3"/>
    <w:rsid w:val="008F5BDF"/>
    <w:rsid w:val="008F7692"/>
    <w:rsid w:val="008F7C4C"/>
    <w:rsid w:val="009013F3"/>
    <w:rsid w:val="009039D6"/>
    <w:rsid w:val="00904BFA"/>
    <w:rsid w:val="00906BFF"/>
    <w:rsid w:val="009119B4"/>
    <w:rsid w:val="009132D5"/>
    <w:rsid w:val="009163E2"/>
    <w:rsid w:val="00916C21"/>
    <w:rsid w:val="00927471"/>
    <w:rsid w:val="009303AF"/>
    <w:rsid w:val="00932916"/>
    <w:rsid w:val="00934742"/>
    <w:rsid w:val="00936805"/>
    <w:rsid w:val="00941BF0"/>
    <w:rsid w:val="009441EF"/>
    <w:rsid w:val="00955253"/>
    <w:rsid w:val="00960193"/>
    <w:rsid w:val="0096529D"/>
    <w:rsid w:val="00972763"/>
    <w:rsid w:val="00982D51"/>
    <w:rsid w:val="00987880"/>
    <w:rsid w:val="00987FCF"/>
    <w:rsid w:val="00991702"/>
    <w:rsid w:val="009932A3"/>
    <w:rsid w:val="0099526A"/>
    <w:rsid w:val="00995CD2"/>
    <w:rsid w:val="009A099A"/>
    <w:rsid w:val="009A19C7"/>
    <w:rsid w:val="009A6C56"/>
    <w:rsid w:val="009B0918"/>
    <w:rsid w:val="009B0B92"/>
    <w:rsid w:val="009B59EF"/>
    <w:rsid w:val="009B679E"/>
    <w:rsid w:val="009B7999"/>
    <w:rsid w:val="009C2C1E"/>
    <w:rsid w:val="009C2C3B"/>
    <w:rsid w:val="009C383C"/>
    <w:rsid w:val="009D053F"/>
    <w:rsid w:val="009E062B"/>
    <w:rsid w:val="009F422D"/>
    <w:rsid w:val="009F44A9"/>
    <w:rsid w:val="009F702D"/>
    <w:rsid w:val="00A01403"/>
    <w:rsid w:val="00A01438"/>
    <w:rsid w:val="00A12DD9"/>
    <w:rsid w:val="00A21E4E"/>
    <w:rsid w:val="00A25174"/>
    <w:rsid w:val="00A25AFB"/>
    <w:rsid w:val="00A25EB2"/>
    <w:rsid w:val="00A37B93"/>
    <w:rsid w:val="00A55CA6"/>
    <w:rsid w:val="00A56DD6"/>
    <w:rsid w:val="00A62F88"/>
    <w:rsid w:val="00A65DF4"/>
    <w:rsid w:val="00A74F51"/>
    <w:rsid w:val="00A75D04"/>
    <w:rsid w:val="00A76FB9"/>
    <w:rsid w:val="00A7704B"/>
    <w:rsid w:val="00A80FA7"/>
    <w:rsid w:val="00A82D1F"/>
    <w:rsid w:val="00A95E30"/>
    <w:rsid w:val="00AA3D0B"/>
    <w:rsid w:val="00AA51ED"/>
    <w:rsid w:val="00AA606A"/>
    <w:rsid w:val="00AA63DB"/>
    <w:rsid w:val="00AA6A51"/>
    <w:rsid w:val="00AA6E3B"/>
    <w:rsid w:val="00AB124C"/>
    <w:rsid w:val="00AB3A4F"/>
    <w:rsid w:val="00AB3C7A"/>
    <w:rsid w:val="00AC05A1"/>
    <w:rsid w:val="00AD3DB6"/>
    <w:rsid w:val="00AE4250"/>
    <w:rsid w:val="00AE73B6"/>
    <w:rsid w:val="00B0041F"/>
    <w:rsid w:val="00B004AD"/>
    <w:rsid w:val="00B022C8"/>
    <w:rsid w:val="00B025F8"/>
    <w:rsid w:val="00B038FB"/>
    <w:rsid w:val="00B06D75"/>
    <w:rsid w:val="00B10286"/>
    <w:rsid w:val="00B1045D"/>
    <w:rsid w:val="00B127F7"/>
    <w:rsid w:val="00B15A76"/>
    <w:rsid w:val="00B15BD0"/>
    <w:rsid w:val="00B25FBA"/>
    <w:rsid w:val="00B321BE"/>
    <w:rsid w:val="00B35E75"/>
    <w:rsid w:val="00B40572"/>
    <w:rsid w:val="00B421C7"/>
    <w:rsid w:val="00B4252B"/>
    <w:rsid w:val="00B44B78"/>
    <w:rsid w:val="00B47061"/>
    <w:rsid w:val="00B47581"/>
    <w:rsid w:val="00B57F18"/>
    <w:rsid w:val="00B622B0"/>
    <w:rsid w:val="00B6283A"/>
    <w:rsid w:val="00B76CF5"/>
    <w:rsid w:val="00B77087"/>
    <w:rsid w:val="00B8267E"/>
    <w:rsid w:val="00B846E0"/>
    <w:rsid w:val="00B84F15"/>
    <w:rsid w:val="00B85C62"/>
    <w:rsid w:val="00B85F82"/>
    <w:rsid w:val="00B90463"/>
    <w:rsid w:val="00B956AA"/>
    <w:rsid w:val="00B95F94"/>
    <w:rsid w:val="00BA6541"/>
    <w:rsid w:val="00BA7971"/>
    <w:rsid w:val="00BB05A0"/>
    <w:rsid w:val="00BC4CDB"/>
    <w:rsid w:val="00BC60A6"/>
    <w:rsid w:val="00BD2EF0"/>
    <w:rsid w:val="00BD39F5"/>
    <w:rsid w:val="00BE3C70"/>
    <w:rsid w:val="00BE5E0F"/>
    <w:rsid w:val="00BE727D"/>
    <w:rsid w:val="00BF1B69"/>
    <w:rsid w:val="00BF4080"/>
    <w:rsid w:val="00BF5979"/>
    <w:rsid w:val="00BF693A"/>
    <w:rsid w:val="00C049EA"/>
    <w:rsid w:val="00C202C0"/>
    <w:rsid w:val="00C229EC"/>
    <w:rsid w:val="00C24CFA"/>
    <w:rsid w:val="00C25A4F"/>
    <w:rsid w:val="00C3147E"/>
    <w:rsid w:val="00C330B9"/>
    <w:rsid w:val="00C3636A"/>
    <w:rsid w:val="00C3747D"/>
    <w:rsid w:val="00C37D05"/>
    <w:rsid w:val="00C45BD6"/>
    <w:rsid w:val="00C478B5"/>
    <w:rsid w:val="00C55BC3"/>
    <w:rsid w:val="00C569F3"/>
    <w:rsid w:val="00C6206C"/>
    <w:rsid w:val="00C63916"/>
    <w:rsid w:val="00C71166"/>
    <w:rsid w:val="00C76152"/>
    <w:rsid w:val="00C82069"/>
    <w:rsid w:val="00C914A6"/>
    <w:rsid w:val="00C92AD2"/>
    <w:rsid w:val="00CA0425"/>
    <w:rsid w:val="00CA4350"/>
    <w:rsid w:val="00CA5683"/>
    <w:rsid w:val="00CB393C"/>
    <w:rsid w:val="00CB4C08"/>
    <w:rsid w:val="00CC2F70"/>
    <w:rsid w:val="00CC78EF"/>
    <w:rsid w:val="00CD21A6"/>
    <w:rsid w:val="00CD4BE0"/>
    <w:rsid w:val="00CE4F71"/>
    <w:rsid w:val="00CF0068"/>
    <w:rsid w:val="00CF7B9A"/>
    <w:rsid w:val="00CF7E7B"/>
    <w:rsid w:val="00D01102"/>
    <w:rsid w:val="00D025F4"/>
    <w:rsid w:val="00D052F1"/>
    <w:rsid w:val="00D06FF9"/>
    <w:rsid w:val="00D07054"/>
    <w:rsid w:val="00D208F7"/>
    <w:rsid w:val="00D234EB"/>
    <w:rsid w:val="00D32077"/>
    <w:rsid w:val="00D36E68"/>
    <w:rsid w:val="00D37055"/>
    <w:rsid w:val="00D42EEF"/>
    <w:rsid w:val="00D461A9"/>
    <w:rsid w:val="00D4762B"/>
    <w:rsid w:val="00D56453"/>
    <w:rsid w:val="00D57372"/>
    <w:rsid w:val="00D57494"/>
    <w:rsid w:val="00D640FF"/>
    <w:rsid w:val="00D703BB"/>
    <w:rsid w:val="00D75C02"/>
    <w:rsid w:val="00D865B3"/>
    <w:rsid w:val="00D9410D"/>
    <w:rsid w:val="00D94BE8"/>
    <w:rsid w:val="00DA788F"/>
    <w:rsid w:val="00DB05BE"/>
    <w:rsid w:val="00DB0EED"/>
    <w:rsid w:val="00DB6911"/>
    <w:rsid w:val="00DC4497"/>
    <w:rsid w:val="00DC71B9"/>
    <w:rsid w:val="00DC7EFA"/>
    <w:rsid w:val="00DD1949"/>
    <w:rsid w:val="00DE2795"/>
    <w:rsid w:val="00DE712C"/>
    <w:rsid w:val="00DE74DB"/>
    <w:rsid w:val="00DF341E"/>
    <w:rsid w:val="00E01445"/>
    <w:rsid w:val="00E027CE"/>
    <w:rsid w:val="00E03DB5"/>
    <w:rsid w:val="00E10B99"/>
    <w:rsid w:val="00E154A8"/>
    <w:rsid w:val="00E1670B"/>
    <w:rsid w:val="00E16D10"/>
    <w:rsid w:val="00E21442"/>
    <w:rsid w:val="00E22DF2"/>
    <w:rsid w:val="00E25514"/>
    <w:rsid w:val="00E26537"/>
    <w:rsid w:val="00E32F7F"/>
    <w:rsid w:val="00E414BA"/>
    <w:rsid w:val="00E419AD"/>
    <w:rsid w:val="00E41ABD"/>
    <w:rsid w:val="00E42371"/>
    <w:rsid w:val="00E43FEC"/>
    <w:rsid w:val="00E465D0"/>
    <w:rsid w:val="00E65E06"/>
    <w:rsid w:val="00E66C17"/>
    <w:rsid w:val="00E70A21"/>
    <w:rsid w:val="00E73D4E"/>
    <w:rsid w:val="00E74F38"/>
    <w:rsid w:val="00E753E0"/>
    <w:rsid w:val="00E8555C"/>
    <w:rsid w:val="00E9404B"/>
    <w:rsid w:val="00E952C4"/>
    <w:rsid w:val="00EA52FA"/>
    <w:rsid w:val="00EA63DD"/>
    <w:rsid w:val="00EA7AA9"/>
    <w:rsid w:val="00EB1014"/>
    <w:rsid w:val="00EB4463"/>
    <w:rsid w:val="00EB6F99"/>
    <w:rsid w:val="00EC0E6D"/>
    <w:rsid w:val="00EC7873"/>
    <w:rsid w:val="00ED1B34"/>
    <w:rsid w:val="00ED3130"/>
    <w:rsid w:val="00ED7F74"/>
    <w:rsid w:val="00EF2273"/>
    <w:rsid w:val="00F000BE"/>
    <w:rsid w:val="00F0200B"/>
    <w:rsid w:val="00F03108"/>
    <w:rsid w:val="00F1061A"/>
    <w:rsid w:val="00F1226D"/>
    <w:rsid w:val="00F22D65"/>
    <w:rsid w:val="00F23B6E"/>
    <w:rsid w:val="00F31884"/>
    <w:rsid w:val="00F40371"/>
    <w:rsid w:val="00F41063"/>
    <w:rsid w:val="00F41133"/>
    <w:rsid w:val="00F45E75"/>
    <w:rsid w:val="00F50E8A"/>
    <w:rsid w:val="00F50F09"/>
    <w:rsid w:val="00F54A24"/>
    <w:rsid w:val="00F56A5E"/>
    <w:rsid w:val="00F6628D"/>
    <w:rsid w:val="00F678F3"/>
    <w:rsid w:val="00F71183"/>
    <w:rsid w:val="00F73145"/>
    <w:rsid w:val="00F75699"/>
    <w:rsid w:val="00F758BC"/>
    <w:rsid w:val="00F83BE9"/>
    <w:rsid w:val="00F87A03"/>
    <w:rsid w:val="00F9612F"/>
    <w:rsid w:val="00FA5D11"/>
    <w:rsid w:val="00FB4761"/>
    <w:rsid w:val="00FC00D6"/>
    <w:rsid w:val="00FC0B76"/>
    <w:rsid w:val="00FC156B"/>
    <w:rsid w:val="00FD1795"/>
    <w:rsid w:val="00FD1D14"/>
    <w:rsid w:val="00FD2B58"/>
    <w:rsid w:val="00FE3DCE"/>
    <w:rsid w:val="00FE49BE"/>
    <w:rsid w:val="00FF3C83"/>
    <w:rsid w:val="00FF4908"/>
    <w:rsid w:val="00FF49C2"/>
    <w:rsid w:val="00FF5938"/>
    <w:rsid w:val="0127C245"/>
    <w:rsid w:val="019E46A2"/>
    <w:rsid w:val="02500C2D"/>
    <w:rsid w:val="0440A89B"/>
    <w:rsid w:val="05971A8F"/>
    <w:rsid w:val="0685CB18"/>
    <w:rsid w:val="07433641"/>
    <w:rsid w:val="0AB045FA"/>
    <w:rsid w:val="0BBE5F7B"/>
    <w:rsid w:val="0C03BEA2"/>
    <w:rsid w:val="0CC0B364"/>
    <w:rsid w:val="0CC94CE0"/>
    <w:rsid w:val="0CEB4B6D"/>
    <w:rsid w:val="1236860C"/>
    <w:rsid w:val="14588614"/>
    <w:rsid w:val="147C9381"/>
    <w:rsid w:val="15F6A801"/>
    <w:rsid w:val="179014EC"/>
    <w:rsid w:val="191069E5"/>
    <w:rsid w:val="19A47FB8"/>
    <w:rsid w:val="19ABA892"/>
    <w:rsid w:val="1ABDB689"/>
    <w:rsid w:val="1B4B0255"/>
    <w:rsid w:val="1B6D53F7"/>
    <w:rsid w:val="1BBD74B0"/>
    <w:rsid w:val="1C8EE844"/>
    <w:rsid w:val="1CCB3918"/>
    <w:rsid w:val="1CD0AFA3"/>
    <w:rsid w:val="1D763174"/>
    <w:rsid w:val="1DB34D2E"/>
    <w:rsid w:val="1E5C82F3"/>
    <w:rsid w:val="201C2943"/>
    <w:rsid w:val="21426F45"/>
    <w:rsid w:val="2238AAC9"/>
    <w:rsid w:val="25934E31"/>
    <w:rsid w:val="265845C6"/>
    <w:rsid w:val="26660C20"/>
    <w:rsid w:val="269B87DF"/>
    <w:rsid w:val="2773A754"/>
    <w:rsid w:val="2836B302"/>
    <w:rsid w:val="28DF42BA"/>
    <w:rsid w:val="29B56726"/>
    <w:rsid w:val="2A597278"/>
    <w:rsid w:val="2B7C7D5B"/>
    <w:rsid w:val="2BF8D52D"/>
    <w:rsid w:val="2C918C48"/>
    <w:rsid w:val="2DA77560"/>
    <w:rsid w:val="2F56B51E"/>
    <w:rsid w:val="30572818"/>
    <w:rsid w:val="329FDBEA"/>
    <w:rsid w:val="3323D821"/>
    <w:rsid w:val="33541D86"/>
    <w:rsid w:val="350F91CA"/>
    <w:rsid w:val="36F18361"/>
    <w:rsid w:val="36F64EB0"/>
    <w:rsid w:val="373BC33B"/>
    <w:rsid w:val="37A652D7"/>
    <w:rsid w:val="38B95893"/>
    <w:rsid w:val="39E6E9F5"/>
    <w:rsid w:val="3A3AB761"/>
    <w:rsid w:val="3A414824"/>
    <w:rsid w:val="3A60622C"/>
    <w:rsid w:val="3B27E06E"/>
    <w:rsid w:val="3B9C9B7B"/>
    <w:rsid w:val="3D6C7EE6"/>
    <w:rsid w:val="3E032183"/>
    <w:rsid w:val="3F55E1BC"/>
    <w:rsid w:val="3FDBC05B"/>
    <w:rsid w:val="3FF89C2D"/>
    <w:rsid w:val="41E0C1BF"/>
    <w:rsid w:val="42AA9A04"/>
    <w:rsid w:val="42C05519"/>
    <w:rsid w:val="4362FC31"/>
    <w:rsid w:val="4782A1A1"/>
    <w:rsid w:val="48EE9C08"/>
    <w:rsid w:val="4941D9AE"/>
    <w:rsid w:val="49A48500"/>
    <w:rsid w:val="4C346521"/>
    <w:rsid w:val="4DD6CD15"/>
    <w:rsid w:val="4E83EA39"/>
    <w:rsid w:val="502838F2"/>
    <w:rsid w:val="50AD13D9"/>
    <w:rsid w:val="5253C574"/>
    <w:rsid w:val="530A7701"/>
    <w:rsid w:val="53F3B6C1"/>
    <w:rsid w:val="53FB4463"/>
    <w:rsid w:val="5513C26E"/>
    <w:rsid w:val="55224638"/>
    <w:rsid w:val="5591B244"/>
    <w:rsid w:val="56EEB2D7"/>
    <w:rsid w:val="57462D5A"/>
    <w:rsid w:val="59923703"/>
    <w:rsid w:val="59F8DCB9"/>
    <w:rsid w:val="5AA7E3FC"/>
    <w:rsid w:val="5B641C35"/>
    <w:rsid w:val="5CB1E8DB"/>
    <w:rsid w:val="5EFA2E63"/>
    <w:rsid w:val="60B3EAAD"/>
    <w:rsid w:val="61AE40D4"/>
    <w:rsid w:val="63F34430"/>
    <w:rsid w:val="659DD74B"/>
    <w:rsid w:val="65E19F09"/>
    <w:rsid w:val="66B3050F"/>
    <w:rsid w:val="681CF48B"/>
    <w:rsid w:val="68E0BD6E"/>
    <w:rsid w:val="6952CBFA"/>
    <w:rsid w:val="6A9566E2"/>
    <w:rsid w:val="6ADC7F0F"/>
    <w:rsid w:val="6C93AC6A"/>
    <w:rsid w:val="6D667175"/>
    <w:rsid w:val="6E91D92D"/>
    <w:rsid w:val="6F0C3DD3"/>
    <w:rsid w:val="6F6868F8"/>
    <w:rsid w:val="7007A419"/>
    <w:rsid w:val="74FBD7D5"/>
    <w:rsid w:val="78265367"/>
    <w:rsid w:val="7AEDDA98"/>
    <w:rsid w:val="7C395A54"/>
    <w:rsid w:val="7CF1517B"/>
    <w:rsid w:val="7D3D0247"/>
    <w:rsid w:val="7D66A851"/>
    <w:rsid w:val="7D983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FDC2F"/>
  <w15:docId w15:val="{3D63242C-07DF-4311-A3AD-0E1D9F10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character" w:styleId="PlaceholderText">
    <w:name w:val="Placeholder Text"/>
    <w:basedOn w:val="DefaultParagraphFont"/>
    <w:uiPriority w:val="99"/>
    <w:semiHidden/>
    <w:rsid w:val="00934742"/>
    <w:rPr>
      <w:color w:val="808080"/>
    </w:rPr>
  </w:style>
  <w:style w:type="paragraph" w:styleId="ListParagraph">
    <w:name w:val="List Paragraph"/>
    <w:basedOn w:val="Normal"/>
    <w:uiPriority w:val="34"/>
    <w:qFormat/>
    <w:rsid w:val="00F1061A"/>
    <w:pPr>
      <w:ind w:left="720"/>
      <w:contextualSpacing/>
    </w:pPr>
  </w:style>
  <w:style w:type="paragraph" w:styleId="NoSpacing">
    <w:name w:val="No Spacing"/>
    <w:uiPriority w:val="1"/>
    <w:qFormat/>
    <w:rsid w:val="001148EF"/>
    <w:pPr>
      <w:spacing w:after="0" w:line="240" w:lineRule="auto"/>
    </w:pPr>
  </w:style>
  <w:style w:type="paragraph" w:customStyle="1" w:styleId="Body1">
    <w:name w:val="Body 1"/>
    <w:rsid w:val="0011044B"/>
    <w:pPr>
      <w:spacing w:after="0" w:line="240" w:lineRule="auto"/>
    </w:pPr>
    <w:rPr>
      <w:rFonts w:ascii="Times New Roman" w:eastAsia="Arial Unicode MS" w:hAnsi="Times New Roman" w:cs="Times New Roman"/>
      <w:color w:val="000000"/>
      <w:kern w:val="1"/>
      <w:sz w:val="24"/>
      <w:szCs w:val="20"/>
      <w:u w:color="000000"/>
      <w:lang w:eastAsia="hi-IN" w:bidi="hi-IN"/>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1D783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1D783E"/>
  </w:style>
  <w:style w:type="character" w:customStyle="1" w:styleId="eop">
    <w:name w:val="eop"/>
    <w:basedOn w:val="DefaultParagraphFont"/>
    <w:rsid w:val="001D783E"/>
  </w:style>
  <w:style w:type="character" w:customStyle="1" w:styleId="spellingerror">
    <w:name w:val="spellingerror"/>
    <w:basedOn w:val="DefaultParagraphFont"/>
    <w:rsid w:val="001D783E"/>
  </w:style>
  <w:style w:type="paragraph" w:customStyle="1" w:styleId="Default">
    <w:name w:val="Default"/>
    <w:rsid w:val="004511D4"/>
    <w:pPr>
      <w:autoSpaceDE w:val="0"/>
      <w:autoSpaceDN w:val="0"/>
      <w:adjustRightInd w:val="0"/>
      <w:spacing w:after="0" w:line="240" w:lineRule="auto"/>
    </w:pPr>
    <w:rPr>
      <w:rFonts w:ascii="Network Rail Sans" w:hAnsi="Network Rail Sans" w:cs="Network Rail Sans"/>
      <w:color w:val="000000"/>
      <w:sz w:val="24"/>
      <w:szCs w:val="24"/>
    </w:rPr>
  </w:style>
  <w:style w:type="paragraph" w:styleId="NormalWeb">
    <w:name w:val="Normal (Web)"/>
    <w:basedOn w:val="Normal"/>
    <w:uiPriority w:val="99"/>
    <w:unhideWhenUsed/>
    <w:rsid w:val="0006461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ommentText">
    <w:name w:val="annotation text"/>
    <w:basedOn w:val="Normal"/>
    <w:link w:val="CommentTextChar"/>
    <w:uiPriority w:val="99"/>
    <w:semiHidden/>
    <w:unhideWhenUsed/>
    <w:rsid w:val="009B0918"/>
    <w:pPr>
      <w:spacing w:line="240" w:lineRule="auto"/>
    </w:pPr>
    <w:rPr>
      <w:sz w:val="20"/>
      <w:szCs w:val="20"/>
    </w:rPr>
  </w:style>
  <w:style w:type="character" w:customStyle="1" w:styleId="CommentTextChar">
    <w:name w:val="Comment Text Char"/>
    <w:basedOn w:val="DefaultParagraphFont"/>
    <w:link w:val="CommentText"/>
    <w:uiPriority w:val="99"/>
    <w:semiHidden/>
    <w:rsid w:val="009B0918"/>
    <w:rPr>
      <w:sz w:val="20"/>
      <w:szCs w:val="20"/>
    </w:rPr>
  </w:style>
  <w:style w:type="character" w:styleId="CommentReference">
    <w:name w:val="annotation reference"/>
    <w:basedOn w:val="DefaultParagraphFont"/>
    <w:uiPriority w:val="99"/>
    <w:semiHidden/>
    <w:unhideWhenUsed/>
    <w:rsid w:val="009B09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13017">
      <w:bodyDiv w:val="1"/>
      <w:marLeft w:val="0"/>
      <w:marRight w:val="0"/>
      <w:marTop w:val="0"/>
      <w:marBottom w:val="0"/>
      <w:divBdr>
        <w:top w:val="none" w:sz="0" w:space="0" w:color="auto"/>
        <w:left w:val="none" w:sz="0" w:space="0" w:color="auto"/>
        <w:bottom w:val="none" w:sz="0" w:space="0" w:color="auto"/>
        <w:right w:val="none" w:sz="0" w:space="0" w:color="auto"/>
      </w:divBdr>
    </w:div>
    <w:div w:id="368799044">
      <w:bodyDiv w:val="1"/>
      <w:marLeft w:val="0"/>
      <w:marRight w:val="0"/>
      <w:marTop w:val="0"/>
      <w:marBottom w:val="0"/>
      <w:divBdr>
        <w:top w:val="none" w:sz="0" w:space="0" w:color="auto"/>
        <w:left w:val="none" w:sz="0" w:space="0" w:color="auto"/>
        <w:bottom w:val="none" w:sz="0" w:space="0" w:color="auto"/>
        <w:right w:val="none" w:sz="0" w:space="0" w:color="auto"/>
      </w:divBdr>
      <w:divsChild>
        <w:div w:id="102461431">
          <w:marLeft w:val="0"/>
          <w:marRight w:val="0"/>
          <w:marTop w:val="0"/>
          <w:marBottom w:val="0"/>
          <w:divBdr>
            <w:top w:val="none" w:sz="0" w:space="0" w:color="auto"/>
            <w:left w:val="none" w:sz="0" w:space="0" w:color="auto"/>
            <w:bottom w:val="none" w:sz="0" w:space="0" w:color="auto"/>
            <w:right w:val="none" w:sz="0" w:space="0" w:color="auto"/>
          </w:divBdr>
          <w:divsChild>
            <w:div w:id="1356998475">
              <w:marLeft w:val="0"/>
              <w:marRight w:val="0"/>
              <w:marTop w:val="0"/>
              <w:marBottom w:val="0"/>
              <w:divBdr>
                <w:top w:val="none" w:sz="0" w:space="0" w:color="auto"/>
                <w:left w:val="none" w:sz="0" w:space="0" w:color="auto"/>
                <w:bottom w:val="none" w:sz="0" w:space="0" w:color="auto"/>
                <w:right w:val="none" w:sz="0" w:space="0" w:color="auto"/>
              </w:divBdr>
            </w:div>
          </w:divsChild>
        </w:div>
        <w:div w:id="157113442">
          <w:marLeft w:val="0"/>
          <w:marRight w:val="0"/>
          <w:marTop w:val="0"/>
          <w:marBottom w:val="0"/>
          <w:divBdr>
            <w:top w:val="none" w:sz="0" w:space="0" w:color="auto"/>
            <w:left w:val="none" w:sz="0" w:space="0" w:color="auto"/>
            <w:bottom w:val="none" w:sz="0" w:space="0" w:color="auto"/>
            <w:right w:val="none" w:sz="0" w:space="0" w:color="auto"/>
          </w:divBdr>
          <w:divsChild>
            <w:div w:id="535237750">
              <w:marLeft w:val="0"/>
              <w:marRight w:val="0"/>
              <w:marTop w:val="0"/>
              <w:marBottom w:val="0"/>
              <w:divBdr>
                <w:top w:val="none" w:sz="0" w:space="0" w:color="auto"/>
                <w:left w:val="none" w:sz="0" w:space="0" w:color="auto"/>
                <w:bottom w:val="none" w:sz="0" w:space="0" w:color="auto"/>
                <w:right w:val="none" w:sz="0" w:space="0" w:color="auto"/>
              </w:divBdr>
            </w:div>
          </w:divsChild>
        </w:div>
        <w:div w:id="1280605000">
          <w:marLeft w:val="0"/>
          <w:marRight w:val="0"/>
          <w:marTop w:val="0"/>
          <w:marBottom w:val="0"/>
          <w:divBdr>
            <w:top w:val="none" w:sz="0" w:space="0" w:color="auto"/>
            <w:left w:val="none" w:sz="0" w:space="0" w:color="auto"/>
            <w:bottom w:val="none" w:sz="0" w:space="0" w:color="auto"/>
            <w:right w:val="none" w:sz="0" w:space="0" w:color="auto"/>
          </w:divBdr>
          <w:divsChild>
            <w:div w:id="114107523">
              <w:marLeft w:val="0"/>
              <w:marRight w:val="0"/>
              <w:marTop w:val="0"/>
              <w:marBottom w:val="0"/>
              <w:divBdr>
                <w:top w:val="none" w:sz="0" w:space="0" w:color="auto"/>
                <w:left w:val="none" w:sz="0" w:space="0" w:color="auto"/>
                <w:bottom w:val="none" w:sz="0" w:space="0" w:color="auto"/>
                <w:right w:val="none" w:sz="0" w:space="0" w:color="auto"/>
              </w:divBdr>
            </w:div>
          </w:divsChild>
        </w:div>
        <w:div w:id="1282684485">
          <w:marLeft w:val="0"/>
          <w:marRight w:val="0"/>
          <w:marTop w:val="0"/>
          <w:marBottom w:val="0"/>
          <w:divBdr>
            <w:top w:val="none" w:sz="0" w:space="0" w:color="auto"/>
            <w:left w:val="none" w:sz="0" w:space="0" w:color="auto"/>
            <w:bottom w:val="none" w:sz="0" w:space="0" w:color="auto"/>
            <w:right w:val="none" w:sz="0" w:space="0" w:color="auto"/>
          </w:divBdr>
          <w:divsChild>
            <w:div w:id="1042901802">
              <w:marLeft w:val="0"/>
              <w:marRight w:val="0"/>
              <w:marTop w:val="0"/>
              <w:marBottom w:val="0"/>
              <w:divBdr>
                <w:top w:val="none" w:sz="0" w:space="0" w:color="auto"/>
                <w:left w:val="none" w:sz="0" w:space="0" w:color="auto"/>
                <w:bottom w:val="none" w:sz="0" w:space="0" w:color="auto"/>
                <w:right w:val="none" w:sz="0" w:space="0" w:color="auto"/>
              </w:divBdr>
            </w:div>
          </w:divsChild>
        </w:div>
        <w:div w:id="1385713993">
          <w:marLeft w:val="0"/>
          <w:marRight w:val="0"/>
          <w:marTop w:val="0"/>
          <w:marBottom w:val="0"/>
          <w:divBdr>
            <w:top w:val="none" w:sz="0" w:space="0" w:color="auto"/>
            <w:left w:val="none" w:sz="0" w:space="0" w:color="auto"/>
            <w:bottom w:val="none" w:sz="0" w:space="0" w:color="auto"/>
            <w:right w:val="none" w:sz="0" w:space="0" w:color="auto"/>
          </w:divBdr>
          <w:divsChild>
            <w:div w:id="1926724562">
              <w:marLeft w:val="0"/>
              <w:marRight w:val="0"/>
              <w:marTop w:val="0"/>
              <w:marBottom w:val="0"/>
              <w:divBdr>
                <w:top w:val="none" w:sz="0" w:space="0" w:color="auto"/>
                <w:left w:val="none" w:sz="0" w:space="0" w:color="auto"/>
                <w:bottom w:val="none" w:sz="0" w:space="0" w:color="auto"/>
                <w:right w:val="none" w:sz="0" w:space="0" w:color="auto"/>
              </w:divBdr>
            </w:div>
          </w:divsChild>
        </w:div>
        <w:div w:id="2144230610">
          <w:marLeft w:val="0"/>
          <w:marRight w:val="0"/>
          <w:marTop w:val="0"/>
          <w:marBottom w:val="0"/>
          <w:divBdr>
            <w:top w:val="none" w:sz="0" w:space="0" w:color="auto"/>
            <w:left w:val="none" w:sz="0" w:space="0" w:color="auto"/>
            <w:bottom w:val="none" w:sz="0" w:space="0" w:color="auto"/>
            <w:right w:val="none" w:sz="0" w:space="0" w:color="auto"/>
          </w:divBdr>
          <w:divsChild>
            <w:div w:id="16373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6665">
      <w:bodyDiv w:val="1"/>
      <w:marLeft w:val="0"/>
      <w:marRight w:val="0"/>
      <w:marTop w:val="0"/>
      <w:marBottom w:val="0"/>
      <w:divBdr>
        <w:top w:val="none" w:sz="0" w:space="0" w:color="auto"/>
        <w:left w:val="none" w:sz="0" w:space="0" w:color="auto"/>
        <w:bottom w:val="none" w:sz="0" w:space="0" w:color="auto"/>
        <w:right w:val="none" w:sz="0" w:space="0" w:color="auto"/>
      </w:divBdr>
    </w:div>
    <w:div w:id="625082375">
      <w:bodyDiv w:val="1"/>
      <w:marLeft w:val="0"/>
      <w:marRight w:val="0"/>
      <w:marTop w:val="0"/>
      <w:marBottom w:val="0"/>
      <w:divBdr>
        <w:top w:val="none" w:sz="0" w:space="0" w:color="auto"/>
        <w:left w:val="none" w:sz="0" w:space="0" w:color="auto"/>
        <w:bottom w:val="none" w:sz="0" w:space="0" w:color="auto"/>
        <w:right w:val="none" w:sz="0" w:space="0" w:color="auto"/>
      </w:divBdr>
    </w:div>
    <w:div w:id="1263298693">
      <w:bodyDiv w:val="1"/>
      <w:marLeft w:val="0"/>
      <w:marRight w:val="0"/>
      <w:marTop w:val="0"/>
      <w:marBottom w:val="0"/>
      <w:divBdr>
        <w:top w:val="none" w:sz="0" w:space="0" w:color="auto"/>
        <w:left w:val="none" w:sz="0" w:space="0" w:color="auto"/>
        <w:bottom w:val="none" w:sz="0" w:space="0" w:color="auto"/>
        <w:right w:val="none" w:sz="0" w:space="0" w:color="auto"/>
      </w:divBdr>
    </w:div>
    <w:div w:id="1505584752">
      <w:bodyDiv w:val="1"/>
      <w:marLeft w:val="0"/>
      <w:marRight w:val="0"/>
      <w:marTop w:val="0"/>
      <w:marBottom w:val="0"/>
      <w:divBdr>
        <w:top w:val="none" w:sz="0" w:space="0" w:color="auto"/>
        <w:left w:val="none" w:sz="0" w:space="0" w:color="auto"/>
        <w:bottom w:val="none" w:sz="0" w:space="0" w:color="auto"/>
        <w:right w:val="none" w:sz="0" w:space="0" w:color="auto"/>
      </w:divBdr>
    </w:div>
    <w:div w:id="166600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0DA4B6186F944BD132063A84AF5BF" ma:contentTypeVersion="2" ma:contentTypeDescription="Create a new document." ma:contentTypeScope="" ma:versionID="0b1b1527ceac27b3478a9ab64566d7b1">
  <xsd:schema xmlns:xsd="http://www.w3.org/2001/XMLSchema" xmlns:xs="http://www.w3.org/2001/XMLSchema" xmlns:p="http://schemas.microsoft.com/office/2006/metadata/properties" xmlns:ns2="68ba1475-14bf-4889-a8c3-96593e341ef5" targetNamespace="http://schemas.microsoft.com/office/2006/metadata/properties" ma:root="true" ma:fieldsID="0d724a83df7e09cc4a2d6ecff51c67a4" ns2:_="">
    <xsd:import namespace="68ba1475-14bf-4889-a8c3-96593e341ef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a1475-14bf-4889-a8c3-96593e341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CA177A-C4F3-464B-9F7F-0C787A1FE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a1475-14bf-4889-a8c3-96593e341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6B60E-FC0D-4114-A812-8F357A10574C}">
  <ds:schemaRefs>
    <ds:schemaRef ds:uri="http://schemas.openxmlformats.org/officeDocument/2006/bibliography"/>
  </ds:schemaRefs>
</ds:datastoreItem>
</file>

<file path=customXml/itemProps3.xml><?xml version="1.0" encoding="utf-8"?>
<ds:datastoreItem xmlns:ds="http://schemas.openxmlformats.org/officeDocument/2006/customXml" ds:itemID="{9303F6C2-308C-4C5E-879E-605BE3C9D817}">
  <ds:schemaRefs>
    <ds:schemaRef ds:uri="http://schemas.microsoft.com/sharepoint/v3/contenttype/forms"/>
  </ds:schemaRefs>
</ds:datastoreItem>
</file>

<file path=customXml/itemProps4.xml><?xml version="1.0" encoding="utf-8"?>
<ds:datastoreItem xmlns:ds="http://schemas.openxmlformats.org/officeDocument/2006/customXml" ds:itemID="{23CB51C4-AE48-44ED-BCD4-53476AC963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954</Words>
  <Characters>5443</Characters>
  <Application>Microsoft Office Word</Application>
  <DocSecurity>4</DocSecurity>
  <Lines>45</Lines>
  <Paragraphs>12</Paragraphs>
  <ScaleCrop>false</ScaleCrop>
  <Company>Network Rail</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Chalk Hazel</dc:creator>
  <cp:keywords/>
  <cp:lastModifiedBy>Matthew Allen</cp:lastModifiedBy>
  <cp:revision>162</cp:revision>
  <cp:lastPrinted>2025-02-25T19:58:00Z</cp:lastPrinted>
  <dcterms:created xsi:type="dcterms:W3CDTF">2025-08-19T18:18:00Z</dcterms:created>
  <dcterms:modified xsi:type="dcterms:W3CDTF">2025-08-20T16:05:00Z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0x0101002A50DA4B6186F944BD132063A84AF5BF</vt:lpwstr>
  </property>
  <property fmtid="{D5CDD505-2E9C-101B-9397-08002B2CF9AE}" pid="3" name="MSIP_Label_8577031b-11bc-4db9-b655-7d79027ad570_Enabled">
    <vt:lpwstr>true</vt:lpwstr>
  </property>
  <property fmtid="{D5CDD505-2E9C-101B-9397-08002B2CF9AE}" pid="4" name="MSIP_Label_8577031b-11bc-4db9-b655-7d79027ad570_SetDate">
    <vt:lpwstr>2020-07-29T11:06:23Z</vt:lpwstr>
  </property>
  <property fmtid="{D5CDD505-2E9C-101B-9397-08002B2CF9AE}" pid="5" name="MSIP_Label_8577031b-11bc-4db9-b655-7d79027ad570_Method">
    <vt:lpwstr>Standard</vt:lpwstr>
  </property>
  <property fmtid="{D5CDD505-2E9C-101B-9397-08002B2CF9AE}" pid="6" name="MSIP_Label_8577031b-11bc-4db9-b655-7d79027ad570_Name">
    <vt:lpwstr>8577031b-11bc-4db9-b655-7d79027ad570</vt:lpwstr>
  </property>
  <property fmtid="{D5CDD505-2E9C-101B-9397-08002B2CF9AE}" pid="7" name="MSIP_Label_8577031b-11bc-4db9-b655-7d79027ad570_SiteId">
    <vt:lpwstr>c22cc3e1-5d7f-4f4d-be03-d5a158cc9409</vt:lpwstr>
  </property>
  <property fmtid="{D5CDD505-2E9C-101B-9397-08002B2CF9AE}" pid="8" name="MSIP_Label_8577031b-11bc-4db9-b655-7d79027ad570_ActionId">
    <vt:lpwstr>75fee7f3-f1a9-4d20-a176-45e4999375cc</vt:lpwstr>
  </property>
  <property fmtid="{D5CDD505-2E9C-101B-9397-08002B2CF9AE}" pid="9" name="MSIP_Label_8577031b-11bc-4db9-b655-7d79027ad570_ContentBits">
    <vt:lpwstr>1</vt:lpwstr>
  </property>
</Properties>
</file>