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Narrow" w:cs="Arial Narrow" w:eastAsia="Arial Narrow" w:hAnsi="Arial Narrow"/>
          <w:i w:val="1"/>
          <w:sz w:val="40"/>
          <w:szCs w:val="40"/>
        </w:rPr>
      </w:pPr>
      <w:bookmarkStart w:colFirst="0" w:colLast="0" w:name="_heading=h.gjdgxs" w:id="0"/>
      <w:bookmarkEnd w:id="0"/>
      <w:r w:rsidDel="00000000" w:rsidR="00000000" w:rsidRPr="00000000">
        <w:rPr>
          <w:rFonts w:ascii="Arial Narrow" w:cs="Arial Narrow" w:eastAsia="Arial Narrow" w:hAnsi="Arial Narrow"/>
          <w:i w:val="1"/>
          <w:sz w:val="40"/>
          <w:szCs w:val="40"/>
          <w:rtl w:val="0"/>
        </w:rPr>
        <w:t xml:space="preserve">Template Format (with advisory annotations) for a Defendant’s Response to a Sole Reference </w:t>
      </w:r>
    </w:p>
    <w:p w:rsidR="00000000" w:rsidDel="00000000" w:rsidP="00000000" w:rsidRDefault="00000000" w:rsidRPr="00000000" w14:paraId="00000002">
      <w:pPr>
        <w:pStyle w:val="Title"/>
        <w:jc w:val="center"/>
        <w:rPr>
          <w:rFonts w:ascii="Arial Narrow" w:cs="Arial Narrow" w:eastAsia="Arial Narrow" w:hAnsi="Arial Narrow"/>
          <w:i w:val="1"/>
          <w:sz w:val="40"/>
          <w:szCs w:val="40"/>
        </w:rPr>
      </w:pPr>
      <w:bookmarkStart w:colFirst="0" w:colLast="0" w:name="_heading=h.30j0zll" w:id="1"/>
      <w:bookmarkEnd w:id="1"/>
      <w:r w:rsidDel="00000000" w:rsidR="00000000" w:rsidRPr="00000000">
        <w:rPr>
          <w:rFonts w:ascii="Arial Narrow" w:cs="Arial Narrow" w:eastAsia="Arial Narrow" w:hAnsi="Arial Narrow"/>
          <w:i w:val="1"/>
          <w:sz w:val="40"/>
          <w:szCs w:val="40"/>
          <w:rtl w:val="0"/>
        </w:rPr>
        <w:t xml:space="preserve">to a Timetabling Panel in accordance with the provisions of Chapter H of the ADR Rules </w:t>
      </w:r>
    </w:p>
    <w:p w:rsidR="00000000" w:rsidDel="00000000" w:rsidP="00000000" w:rsidRDefault="00000000" w:rsidRPr="00000000" w14:paraId="00000003">
      <w:pPr>
        <w:pStyle w:val="Title"/>
        <w:jc w:val="center"/>
        <w:rPr>
          <w:rFonts w:ascii="Arial Narrow" w:cs="Arial Narrow" w:eastAsia="Arial Narrow" w:hAnsi="Arial Narrow"/>
          <w:i w:val="1"/>
          <w:sz w:val="40"/>
          <w:szCs w:val="40"/>
        </w:rPr>
      </w:pPr>
      <w:bookmarkStart w:colFirst="0" w:colLast="0" w:name="_heading=h.1fob9te" w:id="2"/>
      <w:bookmarkEnd w:id="2"/>
      <w:r w:rsidDel="00000000" w:rsidR="00000000" w:rsidRPr="00000000">
        <w:rPr>
          <w:rFonts w:ascii="Arial Narrow" w:cs="Arial Narrow" w:eastAsia="Arial Narrow" w:hAnsi="Arial Narrow"/>
          <w:i w:val="1"/>
          <w:sz w:val="40"/>
          <w:szCs w:val="40"/>
          <w:rtl w:val="0"/>
        </w:rPr>
        <w:t xml:space="preserve">effective from 1 August 2010 </w:t>
      </w:r>
    </w:p>
    <w:p w:rsidR="00000000" w:rsidDel="00000000" w:rsidP="00000000" w:rsidRDefault="00000000" w:rsidRPr="00000000" w14:paraId="00000004">
      <w:pPr>
        <w:pStyle w:val="Title"/>
        <w:jc w:val="center"/>
        <w:rPr>
          <w:rFonts w:ascii="Arial Narrow" w:cs="Arial Narrow" w:eastAsia="Arial Narrow" w:hAnsi="Arial Narrow"/>
          <w:i w:val="1"/>
          <w:sz w:val="40"/>
          <w:szCs w:val="40"/>
        </w:rPr>
      </w:pPr>
      <w:bookmarkStart w:colFirst="0" w:colLast="0" w:name="_heading=h.3znysh7" w:id="3"/>
      <w:bookmarkEnd w:id="3"/>
      <w:r w:rsidDel="00000000" w:rsidR="00000000" w:rsidRPr="00000000">
        <w:rPr>
          <w:rFonts w:ascii="Arial Narrow" w:cs="Arial Narrow" w:eastAsia="Arial Narrow" w:hAnsi="Arial Narrow"/>
          <w:i w:val="1"/>
          <w:sz w:val="40"/>
          <w:szCs w:val="40"/>
          <w:rtl w:val="0"/>
        </w:rPr>
        <w:t xml:space="preserve">(and as subsequently amended)</w:t>
      </w:r>
    </w:p>
    <w:p w:rsidR="00000000" w:rsidDel="00000000" w:rsidP="00000000" w:rsidRDefault="00000000" w:rsidRPr="00000000" w14:paraId="0000000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template, as required by ADR Rule H21(b), is to be used by the Defendant Dispute Party to prepare a  response submission for a Timetabling Panel Hearing. Within the template, text in italics is advisory and should, once taken into account, be deleted from the final document.</w:t>
      </w:r>
    </w:p>
    <w:p w:rsidR="00000000" w:rsidDel="00000000" w:rsidP="00000000" w:rsidRDefault="00000000" w:rsidRPr="00000000" w14:paraId="0000000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Preamble</w:t>
      </w:r>
    </w:p>
    <w:p w:rsidR="00000000" w:rsidDel="00000000" w:rsidP="00000000" w:rsidRDefault="00000000" w:rsidRPr="00000000" w14:paraId="0000000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detailed Management and Determination of each individual dispute heard by a Timetabling Panel shall be subjected to the direction of the Hearing Chair. ADR Rule H20 provides that.</w:t>
      </w:r>
    </w:p>
    <w:p w:rsidR="00000000" w:rsidDel="00000000" w:rsidP="00000000" w:rsidRDefault="00000000" w:rsidRPr="00000000" w14:paraId="0000000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p>
    <w:p w:rsidR="00000000" w:rsidDel="00000000" w:rsidP="00000000" w:rsidRDefault="00000000" w:rsidRPr="00000000" w14:paraId="0000000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0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other Dispute Party/Parties;</w:t>
      </w:r>
    </w:p>
    <w:p w:rsidR="00000000" w:rsidDel="00000000" w:rsidP="00000000" w:rsidRDefault="00000000" w:rsidRPr="00000000" w14:paraId="0000001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2">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Timetabling Panel in good time for the hearing; and</w:t>
      </w:r>
    </w:p>
    <w:p w:rsidR="00000000" w:rsidDel="00000000" w:rsidP="00000000" w:rsidRDefault="00000000" w:rsidRPr="00000000" w14:paraId="00000013">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be published on the ADC website;</w:t>
      </w:r>
    </w:p>
    <w:p w:rsidR="00000000" w:rsidDel="00000000" w:rsidP="00000000" w:rsidRDefault="00000000" w:rsidRPr="00000000" w14:paraId="0000001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always bearing in mind that </w:t>
      </w:r>
    </w:p>
    <w:p w:rsidR="00000000" w:rsidDel="00000000" w:rsidP="00000000" w:rsidRDefault="00000000" w:rsidRPr="00000000" w14:paraId="0000001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an oral hearing lasting no more than one day shall be conducted” [Rule H21(d)], and that “The length of every reference and response shall be in proportion to the nature and complexity of the dispute. Unless otherwise agreed by the Hearing Chair, the maximum length of submissions shall be as follows:</w:t>
      </w:r>
    </w:p>
    <w:p w:rsidR="00000000" w:rsidDel="00000000" w:rsidP="00000000" w:rsidRDefault="00000000" w:rsidRPr="00000000" w14:paraId="0000001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 a sole reference or response shall be no longer than 10 pages”. [ADR Rule H23].</w:t>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most important thing to bear in mind is to explain the background, facts and remedy being sought as clearly and concisely as possible, including only those appendices which actively support what is being submitted (e.g. there is no need to submit the entire Engineering Access Statement document; the relevant excerpt will do).</w:t>
      </w:r>
    </w:p>
    <w:p w:rsidR="00000000" w:rsidDel="00000000" w:rsidP="00000000" w:rsidRDefault="00000000" w:rsidRPr="00000000" w14:paraId="0000001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THE TEMPLATE</w:t>
      </w:r>
    </w:p>
    <w:p w:rsidR="00000000" w:rsidDel="00000000" w:rsidP="00000000" w:rsidRDefault="00000000" w:rsidRPr="00000000" w14:paraId="0000002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w:t>
        <w:tab/>
        <w:t xml:space="preserve">DETAILS OF PARTIES</w:t>
      </w:r>
    </w:p>
    <w:p w:rsidR="00000000" w:rsidDel="00000000" w:rsidP="00000000" w:rsidRDefault="00000000" w:rsidRPr="00000000" w14:paraId="0000002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25">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[Insert Full Company name] </w:t>
      </w:r>
      <w:r w:rsidDel="00000000" w:rsidR="00000000" w:rsidRPr="00000000">
        <w:rPr>
          <w:rFonts w:ascii="Arial Narrow" w:cs="Arial Narrow" w:eastAsia="Arial Narrow" w:hAnsi="Arial Narrow"/>
          <w:rtl w:val="0"/>
        </w:rPr>
        <w:t xml:space="preserve">Limited, whose registered Office is at </w:t>
      </w:r>
      <w:r w:rsidDel="00000000" w:rsidR="00000000" w:rsidRPr="00000000">
        <w:rPr>
          <w:rFonts w:ascii="Arial Narrow" w:cs="Arial Narrow" w:eastAsia="Arial Narrow" w:hAnsi="Arial Narrow"/>
          <w:i w:val="1"/>
          <w:rtl w:val="0"/>
        </w:rPr>
        <w:t xml:space="preserve">[insert full address]</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Claimant”); and</w:t>
      </w:r>
    </w:p>
    <w:p w:rsidR="00000000" w:rsidDel="00000000" w:rsidP="00000000" w:rsidRDefault="00000000" w:rsidRPr="00000000" w14:paraId="00000027">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[Full Company name - usually Network Rail Infrastructure Limited]</w:t>
      </w:r>
      <w:r w:rsidDel="00000000" w:rsidR="00000000" w:rsidRPr="00000000">
        <w:rPr>
          <w:rFonts w:ascii="Arial Narrow" w:cs="Arial Narrow" w:eastAsia="Arial Narrow" w:hAnsi="Arial Narrow"/>
          <w:rtl w:val="0"/>
        </w:rPr>
        <w:t xml:space="preserve"> whose Registered Office is at </w:t>
      </w:r>
      <w:r w:rsidDel="00000000" w:rsidR="00000000" w:rsidRPr="00000000">
        <w:rPr>
          <w:rFonts w:ascii="Arial Narrow" w:cs="Arial Narrow" w:eastAsia="Arial Narrow" w:hAnsi="Arial Narrow"/>
          <w:i w:val="1"/>
          <w:rtl w:val="0"/>
        </w:rPr>
        <w:t xml:space="preserve">[insert full address]</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i w:val="1"/>
          <w:rtl w:val="0"/>
        </w:rPr>
        <w:t xml:space="preserve">[insert short form or abbreviation for Company name, e.g. NR]</w:t>
      </w:r>
      <w:r w:rsidDel="00000000" w:rsidR="00000000" w:rsidRPr="00000000">
        <w:rPr>
          <w:rFonts w:ascii="Arial Narrow" w:cs="Arial Narrow" w:eastAsia="Arial Narrow" w:hAnsi="Arial Narrow"/>
          <w:rtl w:val="0"/>
        </w:rPr>
        <w:t xml:space="preserve">” (“the Defendant”).</w:t>
      </w:r>
    </w:p>
    <w:p w:rsidR="00000000" w:rsidDel="00000000" w:rsidP="00000000" w:rsidRDefault="00000000" w:rsidRPr="00000000" w14:paraId="00000029">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numPr>
          <w:ilvl w:val="0"/>
          <w:numId w:val="2"/>
        </w:numPr>
        <w:ind w:left="144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Include correspondence address, contact details and e-mail address if different.</w:t>
      </w:r>
    </w:p>
    <w:p w:rsidR="00000000" w:rsidDel="00000000" w:rsidP="00000000" w:rsidRDefault="00000000" w:rsidRPr="00000000" w14:paraId="0000002B">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ind w:left="1440.0000000000002"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1.2</w:t>
        <w:tab/>
      </w:r>
      <w:r w:rsidDel="00000000" w:rsidR="00000000" w:rsidRPr="00000000">
        <w:rPr>
          <w:rFonts w:ascii="Arial Narrow" w:cs="Arial Narrow" w:eastAsia="Arial Narrow" w:hAnsi="Arial Narrow"/>
          <w:i w:val="1"/>
          <w:rtl w:val="0"/>
        </w:rPr>
        <w:t xml:space="preserve">Where the Defendant is aware that any third party may be affected by the Chair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(via the Secretary) as to any format to be used in respect of their representations.</w:t>
      </w:r>
    </w:p>
    <w:p w:rsidR="00000000" w:rsidDel="00000000" w:rsidP="00000000" w:rsidRDefault="00000000" w:rsidRPr="00000000" w14:paraId="0000002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w:t>
        <w:tab/>
        <w:t xml:space="preserve">CONTENTS OF THIS DOCUMENT</w:t>
      </w:r>
    </w:p>
    <w:p w:rsidR="00000000" w:rsidDel="00000000" w:rsidP="00000000" w:rsidRDefault="00000000" w:rsidRPr="00000000" w14:paraId="0000002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Response to the Claimant’s Sole Reference includes:-</w:t>
      </w:r>
    </w:p>
    <w:p w:rsidR="00000000" w:rsidDel="00000000" w:rsidP="00000000" w:rsidRDefault="00000000" w:rsidRPr="00000000" w14:paraId="000000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numPr>
          <w:ilvl w:val="0"/>
          <w:numId w:val="9"/>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Confirmation, or qualification, that the subject matter of the dispute is as set out by the Claimant in its Sole Reference, in the form of a summary schedule cross-referenced to the issues raised by the Claimant in the Sole Reference, identifying which the Defendant agrees with and which it disagrees with.</w:t>
      </w:r>
    </w:p>
    <w:p w:rsidR="00000000" w:rsidDel="00000000" w:rsidP="00000000" w:rsidRDefault="00000000" w:rsidRPr="00000000" w14:paraId="00000033">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numPr>
          <w:ilvl w:val="0"/>
          <w:numId w:val="9"/>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 detailed explanation of the Defendant’s arguments in support of its position on those issues where it disagrees with the Claimant’s Sole Reference, including references to documents or contractual provisions not dealt with in the Claimant’s Sole Reference.</w:t>
      </w:r>
    </w:p>
    <w:p w:rsidR="00000000" w:rsidDel="00000000" w:rsidP="00000000" w:rsidRDefault="00000000" w:rsidRPr="00000000" w14:paraId="00000035">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numPr>
          <w:ilvl w:val="0"/>
          <w:numId w:val="9"/>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further related issues not raised by the Claimant but which the Defendant considers fail to be determined as part of the dispute;</w:t>
      </w:r>
    </w:p>
    <w:p w:rsidR="00000000" w:rsidDel="00000000" w:rsidP="00000000" w:rsidRDefault="00000000" w:rsidRPr="00000000" w14:paraId="00000037">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numPr>
          <w:ilvl w:val="0"/>
          <w:numId w:val="3"/>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decisions of principle sought from the Chair in respect of</w:t>
      </w:r>
    </w:p>
    <w:p w:rsidR="00000000" w:rsidDel="00000000" w:rsidP="00000000" w:rsidRDefault="00000000" w:rsidRPr="00000000" w14:paraId="00000039">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ind w:left="144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(i) legal entitlement, and</w:t>
      </w:r>
    </w:p>
    <w:p w:rsidR="00000000" w:rsidDel="00000000" w:rsidP="00000000" w:rsidRDefault="00000000" w:rsidRPr="00000000" w14:paraId="0000003B">
      <w:pPr>
        <w:ind w:left="144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(ii) remedies;</w:t>
      </w:r>
    </w:p>
    <w:p w:rsidR="00000000" w:rsidDel="00000000" w:rsidP="00000000" w:rsidRDefault="00000000" w:rsidRPr="00000000" w14:paraId="0000003C">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3D">
      <w:pPr>
        <w:numPr>
          <w:ilvl w:val="0"/>
          <w:numId w:val="3"/>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Appendices and other supporting material.</w:t>
      </w:r>
    </w:p>
    <w:p w:rsidR="00000000" w:rsidDel="00000000" w:rsidP="00000000" w:rsidRDefault="00000000" w:rsidRPr="00000000" w14:paraId="0000003E">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w:t>
        <w:tab/>
        <w:t xml:space="preserve">SUBJECT MATTER OF DISPUTE</w:t>
      </w:r>
    </w:p>
    <w:p w:rsidR="00000000" w:rsidDel="00000000" w:rsidP="00000000" w:rsidRDefault="00000000" w:rsidRPr="00000000" w14:paraId="0000004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numPr>
          <w:ilvl w:val="0"/>
          <w:numId w:val="1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Defendant is disputing the Claimant’s right to bring the particular dispute, this should be identified here.</w:t>
      </w:r>
    </w:p>
    <w:p w:rsidR="00000000" w:rsidDel="00000000" w:rsidP="00000000" w:rsidRDefault="00000000" w:rsidRPr="00000000" w14:paraId="00000042">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3">
      <w:pPr>
        <w:numPr>
          <w:ilvl w:val="0"/>
          <w:numId w:val="1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Confirm, clarify or qualify any areas where the Defendant disagrees with the description of the subject matter of the dispute given by the Claimant</w:t>
      </w:r>
    </w:p>
    <w:p w:rsidR="00000000" w:rsidDel="00000000" w:rsidP="00000000" w:rsidRDefault="00000000" w:rsidRPr="00000000" w14:paraId="00000044">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5">
      <w:pPr>
        <w:numPr>
          <w:ilvl w:val="0"/>
          <w:numId w:val="1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details of any Condition in Part D of the Network Code, or the relevant provision of the Track Access Contract that the dispute relates to, or is associated with that have not been cited in the Sole Reference, but which the Defant considers supports its case.</w:t>
      </w:r>
    </w:p>
    <w:p w:rsidR="00000000" w:rsidDel="00000000" w:rsidP="00000000" w:rsidRDefault="00000000" w:rsidRPr="00000000" w14:paraId="00000046">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7">
      <w:pPr>
        <w:numPr>
          <w:ilvl w:val="0"/>
          <w:numId w:val="1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any relevant background information not already given by the Claimant such as is necessary to ensure a common level of understanding of all members of the Panel, including details of the contractual framework surrounding the obligations of the Parties in relation to the dispute. This is also the opportunity to make the case where the Claimant has sought to introduce as relevant material which the Defendant considers does not relate to the circumstance in dispute.</w:t>
      </w:r>
    </w:p>
    <w:p w:rsidR="00000000" w:rsidDel="00000000" w:rsidP="00000000" w:rsidRDefault="00000000" w:rsidRPr="00000000" w14:paraId="00000048">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9">
      <w:pPr>
        <w:numPr>
          <w:ilvl w:val="0"/>
          <w:numId w:val="1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Unless already provided by the claimant, ensure that a copy of the relevant </w:t>
      </w:r>
      <w:r w:rsidDel="00000000" w:rsidR="00000000" w:rsidRPr="00000000">
        <w:rPr>
          <w:rFonts w:ascii="Arial Narrow" w:cs="Arial Narrow" w:eastAsia="Arial Narrow" w:hAnsi="Arial Narrow"/>
          <w:i w:val="1"/>
          <w:u w:val="single"/>
          <w:rtl w:val="0"/>
        </w:rPr>
        <w:t xml:space="preserve">extract(s</w:t>
      </w:r>
      <w:r w:rsidDel="00000000" w:rsidR="00000000" w:rsidRPr="00000000">
        <w:rPr>
          <w:rFonts w:ascii="Arial Narrow" w:cs="Arial Narrow" w:eastAsia="Arial Narrow" w:hAnsi="Arial Narrow"/>
          <w:i w:val="1"/>
          <w:rtl w:val="0"/>
        </w:rPr>
        <w:t xml:space="preserve">) from the document(s) referred to above is/are provided as Appendices.</w:t>
      </w:r>
    </w:p>
    <w:p w:rsidR="00000000" w:rsidDel="00000000" w:rsidP="00000000" w:rsidRDefault="00000000" w:rsidRPr="00000000" w14:paraId="0000004A">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B">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can be assumed that Timetabling Panel Members will have access to a </w:t>
      </w:r>
      <w:r w:rsidDel="00000000" w:rsidR="00000000" w:rsidRPr="00000000">
        <w:rPr>
          <w:rFonts w:ascii="Arial Narrow" w:cs="Arial Narrow" w:eastAsia="Arial Narrow" w:hAnsi="Arial Narrow"/>
          <w:i w:val="1"/>
          <w:u w:val="single"/>
          <w:rtl w:val="0"/>
        </w:rPr>
        <w:t xml:space="preserve">current</w:t>
      </w:r>
      <w:r w:rsidDel="00000000" w:rsidR="00000000" w:rsidRPr="00000000">
        <w:rPr>
          <w:rFonts w:ascii="Arial Narrow" w:cs="Arial Narrow" w:eastAsia="Arial Narrow" w:hAnsi="Arial Narrow"/>
          <w:i w:val="1"/>
          <w:rtl w:val="0"/>
        </w:rPr>
        <w:t xml:space="preserve"> edition of the Network Code. However,</w:t>
      </w:r>
    </w:p>
    <w:p w:rsidR="00000000" w:rsidDel="00000000" w:rsidP="00000000" w:rsidRDefault="00000000" w:rsidRPr="00000000" w14:paraId="0000004C">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D">
      <w:pPr>
        <w:numPr>
          <w:ilvl w:val="0"/>
          <w:numId w:val="6"/>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dispute derives from actions taken (or not taken) before the date of introduction of the relevant pages of the current Network Code the Defendant should ensure that the Panel is supplied with the relevant pages of the applicable version.</w:t>
      </w:r>
    </w:p>
    <w:p w:rsidR="00000000" w:rsidDel="00000000" w:rsidP="00000000" w:rsidRDefault="00000000" w:rsidRPr="00000000" w14:paraId="0000004E">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F">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should </w:t>
      </w:r>
      <w:r w:rsidDel="00000000" w:rsidR="00000000" w:rsidRPr="00000000">
        <w:rPr>
          <w:rFonts w:ascii="Arial Narrow" w:cs="Arial Narrow" w:eastAsia="Arial Narrow" w:hAnsi="Arial Narrow"/>
          <w:i w:val="1"/>
          <w:u w:val="single"/>
          <w:rtl w:val="0"/>
        </w:rPr>
        <w:t xml:space="preserve">not </w:t>
      </w:r>
      <w:r w:rsidDel="00000000" w:rsidR="00000000" w:rsidRPr="00000000">
        <w:rPr>
          <w:rFonts w:ascii="Arial Narrow" w:cs="Arial Narrow" w:eastAsia="Arial Narrow" w:hAnsi="Arial Narrow"/>
          <w:i w:val="1"/>
          <w:rtl w:val="0"/>
        </w:rPr>
        <w:t xml:space="preserve">assume that Panel Members have personal copies or knowledge of the relevant parts (in particular any Schedules) of the specific access agreements whether or not governed by Model Clauses. The Committee Secretariat is available to give advice.</w:t>
      </w:r>
    </w:p>
    <w:p w:rsidR="00000000" w:rsidDel="00000000" w:rsidP="00000000" w:rsidRDefault="00000000" w:rsidRPr="00000000" w14:paraId="00000050">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1">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(f) Provide details of any </w:t>
      </w:r>
      <w:r w:rsidDel="00000000" w:rsidR="00000000" w:rsidRPr="00000000">
        <w:rPr>
          <w:rFonts w:ascii="Arial Narrow" w:cs="Arial Narrow" w:eastAsia="Arial Narrow" w:hAnsi="Arial Narrow"/>
          <w:i w:val="1"/>
          <w:u w:val="single"/>
          <w:rtl w:val="0"/>
        </w:rPr>
        <w:t xml:space="preserve">other</w:t>
      </w:r>
      <w:r w:rsidDel="00000000" w:rsidR="00000000" w:rsidRPr="00000000">
        <w:rPr>
          <w:rFonts w:ascii="Arial Narrow" w:cs="Arial Narrow" w:eastAsia="Arial Narrow" w:hAnsi="Arial Narrow"/>
          <w:i w:val="1"/>
          <w:rtl w:val="0"/>
        </w:rPr>
        <w:t xml:space="preserve"> documents that the Defendant considers are relevant  to the dispute. The </w:t>
      </w:r>
      <w:r w:rsidDel="00000000" w:rsidR="00000000" w:rsidRPr="00000000">
        <w:rPr>
          <w:rFonts w:ascii="Arial Narrow" w:cs="Arial Narrow" w:eastAsia="Arial Narrow" w:hAnsi="Arial Narrow"/>
          <w:i w:val="1"/>
          <w:u w:val="single"/>
          <w:rtl w:val="0"/>
        </w:rPr>
        <w:t xml:space="preserve">relevant parts</w:t>
      </w:r>
      <w:r w:rsidDel="00000000" w:rsidR="00000000" w:rsidRPr="00000000">
        <w:rPr>
          <w:rFonts w:ascii="Arial Narrow" w:cs="Arial Narrow" w:eastAsia="Arial Narrow" w:hAnsi="Arial Narrow"/>
          <w:i w:val="1"/>
          <w:rtl w:val="0"/>
        </w:rPr>
        <w:t xml:space="preserve"> must also be copied and annexed to this response document</w:t>
      </w:r>
    </w:p>
    <w:p w:rsidR="00000000" w:rsidDel="00000000" w:rsidP="00000000" w:rsidRDefault="00000000" w:rsidRPr="00000000" w14:paraId="00000052">
      <w:pPr>
        <w:ind w:left="720.0000000000002"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3">
      <w:pPr>
        <w:ind w:left="720.0000000000002" w:hanging="720.0000000000001"/>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NOTE: </w:t>
      </w:r>
      <w:r w:rsidDel="00000000" w:rsidR="00000000" w:rsidRPr="00000000">
        <w:rPr>
          <w:rFonts w:ascii="Arial Narrow" w:cs="Arial Narrow" w:eastAsia="Arial Narrow" w:hAnsi="Arial Narrow"/>
          <w:b w:val="1"/>
          <w:i w:val="1"/>
          <w:u w:val="single"/>
          <w:rtl w:val="0"/>
        </w:rPr>
        <w:t xml:space="preserve">Please do not supply the Panel with documentation which has already been provided by the Claimant.</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i w:val="1"/>
          <w:rtl w:val="0"/>
        </w:rPr>
        <w:t xml:space="preserve">It is, however, appropriate that the Defendant confirms whether documentation which has been supplied by the Claimant is recognised as relevant to the dispute.</w:t>
      </w:r>
      <w:r w:rsidDel="00000000" w:rsidR="00000000" w:rsidRPr="00000000">
        <w:rPr>
          <w:rtl w:val="0"/>
        </w:rPr>
      </w:r>
    </w:p>
    <w:p w:rsidR="00000000" w:rsidDel="00000000" w:rsidP="00000000" w:rsidRDefault="00000000" w:rsidRPr="00000000" w14:paraId="00000054">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5">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w:t>
        <w:tab/>
        <w:t xml:space="preserve">EXPLANATION FROM THE DEFENDANT’S PERSPECTIVE OF EACH ISSUE IN DISPUTE</w:t>
      </w:r>
    </w:p>
    <w:p w:rsidR="00000000" w:rsidDel="00000000" w:rsidP="00000000" w:rsidRDefault="00000000" w:rsidRPr="00000000" w14:paraId="00000056">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7">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section has to achieve four objectives, namely</w:t>
      </w:r>
    </w:p>
    <w:p w:rsidR="00000000" w:rsidDel="00000000" w:rsidP="00000000" w:rsidRDefault="00000000" w:rsidRPr="00000000" w14:paraId="00000058">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9">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identify any issues raised by the Claimant where the Defendant agrees, broadly or wholly, with the Claimant;</w:t>
      </w:r>
    </w:p>
    <w:p w:rsidR="00000000" w:rsidDel="00000000" w:rsidP="00000000" w:rsidRDefault="00000000" w:rsidRPr="00000000" w14:paraId="0000005A">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B">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identify those issues where the Defendant disagrees with the Claimant’s position; together with giving the reasons for that disagreement;</w:t>
      </w:r>
    </w:p>
    <w:p w:rsidR="00000000" w:rsidDel="00000000" w:rsidP="00000000" w:rsidRDefault="00000000" w:rsidRPr="00000000" w14:paraId="0000005C">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D">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introduce any issues that have not been raised by the Claimant but which the Defendant considers are of material relevance to the overall reference, together with the reasons for that view; and;</w:t>
      </w:r>
    </w:p>
    <w:p w:rsidR="00000000" w:rsidDel="00000000" w:rsidP="00000000" w:rsidRDefault="00000000" w:rsidRPr="00000000" w14:paraId="0000005E">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F">
      <w:pPr>
        <w:numPr>
          <w:ilvl w:val="0"/>
          <w:numId w:val="10"/>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draw all the foregoing together into a demonstration that the Defendant’s case is the stronger, or should otherwise be preferred to that of the Claimant.</w:t>
      </w:r>
    </w:p>
    <w:p w:rsidR="00000000" w:rsidDel="00000000" w:rsidP="00000000" w:rsidRDefault="00000000" w:rsidRPr="00000000" w14:paraId="0000006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4.1</w:t>
        <w:tab/>
        <w:t xml:space="preserve">Issues where the Defendant accepts the Claimant’s Case.</w:t>
      </w:r>
    </w:p>
    <w:p w:rsidR="00000000" w:rsidDel="00000000" w:rsidP="00000000" w:rsidRDefault="00000000" w:rsidRPr="00000000" w14:paraId="00000062">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3">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4.2</w:t>
        <w:tab/>
        <w:t xml:space="preserve">Issues where the Defendant qualifies or refutes the Claimant’s Case.</w:t>
      </w:r>
    </w:p>
    <w:p w:rsidR="00000000" w:rsidDel="00000000" w:rsidP="00000000" w:rsidRDefault="00000000" w:rsidRPr="00000000" w14:paraId="00000064">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5">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4.3</w:t>
        <w:tab/>
        <w:t xml:space="preserve">Issues not addressed by the Claimant that the Defendant considers should be taken into account as material to the determination</w:t>
      </w:r>
    </w:p>
    <w:p w:rsidR="00000000" w:rsidDel="00000000" w:rsidP="00000000" w:rsidRDefault="00000000" w:rsidRPr="00000000" w14:paraId="00000066">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7">
      <w:pPr>
        <w:ind w:left="720" w:firstLine="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4.4</w:t>
        <w:tab/>
        <w:t xml:space="preserve">Why the arguments raised in 4.1 to 4.3 taken together favour the position of the Defendant</w:t>
      </w:r>
      <w:r w:rsidDel="00000000" w:rsidR="00000000" w:rsidRPr="00000000">
        <w:rPr>
          <w:rtl w:val="0"/>
        </w:rPr>
      </w:r>
    </w:p>
    <w:p w:rsidR="00000000" w:rsidDel="00000000" w:rsidP="00000000" w:rsidRDefault="00000000" w:rsidRPr="00000000" w14:paraId="00000068">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9">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brought before a Timetabling Panel should in any case keep in mind that in most cases the Panel needs to be given</w:t>
      </w:r>
    </w:p>
    <w:p w:rsidR="00000000" w:rsidDel="00000000" w:rsidP="00000000" w:rsidRDefault="00000000" w:rsidRPr="00000000" w14:paraId="0000006A">
      <w:pPr>
        <w:ind w:left="0" w:firstLine="0"/>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06B">
      <w:pPr>
        <w:numPr>
          <w:ilvl w:val="0"/>
          <w:numId w:val="8"/>
        </w:numPr>
        <w:ind w:left="720" w:hanging="360"/>
        <w:rPr>
          <w:b w:val="1"/>
          <w:i w:val="1"/>
        </w:rPr>
      </w:pP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i w:val="1"/>
          <w:rtl w:val="0"/>
        </w:rPr>
        <w:t xml:space="preserve">A clear  and logical exposition of the factors that support the rightness of the Defendant’s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6C">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D">
      <w:pPr>
        <w:numPr>
          <w:ilvl w:val="0"/>
          <w:numId w:val="8"/>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statement of each point where the Defendant refutes the Claimant’s arguments or conclusions, such that the extent of the differences between the Parties can be clearly appreciated;</w:t>
      </w:r>
    </w:p>
    <w:p w:rsidR="00000000" w:rsidDel="00000000" w:rsidP="00000000" w:rsidRDefault="00000000" w:rsidRPr="00000000" w14:paraId="0000006E">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F">
      <w:pPr>
        <w:numPr>
          <w:ilvl w:val="0"/>
          <w:numId w:val="8"/>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Clarification in respect of each point of difference whether the issue is primarily one of principle, or of quantification in respect of a specific instance or instances;</w:t>
      </w:r>
    </w:p>
    <w:p w:rsidR="00000000" w:rsidDel="00000000" w:rsidP="00000000" w:rsidRDefault="00000000" w:rsidRPr="00000000" w14:paraId="00000070">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1">
      <w:pPr>
        <w:numPr>
          <w:ilvl w:val="0"/>
          <w:numId w:val="8"/>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summary of the Defendant’s individual view of practical implications of the dispute (e.g. numbers of trains potentially affected, ditto passengers or freight customers, order of magnitude of any financial impact) where this differs from the Claimant’s; even in cases of “principle”, the Panel is reasonably entitled to know how much business is affected by any possible outcome of the dispute, as factor</w:t>
      </w:r>
    </w:p>
    <w:p w:rsidR="00000000" w:rsidDel="00000000" w:rsidP="00000000" w:rsidRDefault="00000000" w:rsidRPr="00000000" w14:paraId="00000072">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3">
      <w:pPr>
        <w:numPr>
          <w:ilvl w:val="0"/>
          <w:numId w:val="8"/>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Guidance as to any aspects of the dispute that could be contentious, but which the Defendant considers it would be inappropriate for the Panel to address. This could include instances where, for example, the Parties have agreed to test a matter of principle, after which they will themselves negotiate a settlement of quantum.</w:t>
      </w:r>
    </w:p>
    <w:p w:rsidR="00000000" w:rsidDel="00000000" w:rsidP="00000000" w:rsidRDefault="00000000" w:rsidRPr="00000000" w14:paraId="00000074">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w:t>
        <w:tab/>
        <w:t xml:space="preserve">DECISION SOUGHT FROM THE CHAIR</w:t>
      </w:r>
    </w:p>
    <w:p w:rsidR="00000000" w:rsidDel="00000000" w:rsidP="00000000" w:rsidRDefault="00000000" w:rsidRPr="00000000" w14:paraId="0000007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7">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5.1</w:t>
        <w:tab/>
      </w:r>
      <w:r w:rsidDel="00000000" w:rsidR="00000000" w:rsidRPr="00000000">
        <w:rPr>
          <w:rFonts w:ascii="Arial Narrow" w:cs="Arial Narrow" w:eastAsia="Arial Narrow" w:hAnsi="Arial Narrow"/>
          <w:i w:val="1"/>
          <w:rtl w:val="0"/>
        </w:rPr>
        <w:t xml:space="preserve">The Defendant should set out the outcome it is seeking from the Chair’s</w:t>
      </w:r>
    </w:p>
    <w:p w:rsidR="00000000" w:rsidDel="00000000" w:rsidP="00000000" w:rsidRDefault="00000000" w:rsidRPr="00000000" w14:paraId="00000078">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determination, differentiating between:</w:t>
      </w:r>
    </w:p>
    <w:p w:rsidR="00000000" w:rsidDel="00000000" w:rsidP="00000000" w:rsidRDefault="00000000" w:rsidRPr="00000000" w14:paraId="00000079">
      <w:pPr>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ind w:left="720" w:firstLine="0"/>
        <w:jc w:val="left"/>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(a) </w:t>
      </w:r>
      <w:r w:rsidDel="00000000" w:rsidR="00000000" w:rsidRPr="00000000">
        <w:rPr>
          <w:rFonts w:ascii="Arial Narrow" w:cs="Arial Narrow" w:eastAsia="Arial Narrow" w:hAnsi="Arial Narrow"/>
          <w:i w:val="1"/>
          <w:rtl w:val="0"/>
        </w:rPr>
        <w:t xml:space="preserve">the matters of principle     </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7B">
      <w:pPr>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C">
      <w:pPr>
        <w:ind w:left="720" w:firstLine="0"/>
        <w:jc w:val="left"/>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(b)</w:t>
      </w:r>
      <w:r w:rsidDel="00000000" w:rsidR="00000000" w:rsidRPr="00000000">
        <w:rPr>
          <w:rFonts w:ascii="Arial Narrow" w:cs="Arial Narrow" w:eastAsia="Arial Narrow" w:hAnsi="Arial Narrow"/>
          <w:i w:val="1"/>
          <w:rtl w:val="0"/>
        </w:rPr>
        <w:t xml:space="preserve"> specific conclusions deriving from those matters of principle.</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7D">
      <w:pPr>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E">
      <w:pPr>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its arguments and representations, the Defendant should remember that the Chair is constrained by </w:t>
      </w:r>
      <w:r w:rsidDel="00000000" w:rsidR="00000000" w:rsidRPr="00000000">
        <w:rPr>
          <w:rFonts w:ascii="Arial Narrow" w:cs="Arial Narrow" w:eastAsia="Arial Narrow" w:hAnsi="Arial Narrow"/>
          <w:b w:val="1"/>
          <w:i w:val="1"/>
          <w:rtl w:val="0"/>
        </w:rPr>
        <w:t xml:space="preserve">ADR Rule A5 </w:t>
      </w:r>
      <w:r w:rsidDel="00000000" w:rsidR="00000000" w:rsidRPr="00000000">
        <w:rPr>
          <w:rFonts w:ascii="Arial Narrow" w:cs="Arial Narrow" w:eastAsia="Arial Narrow" w:hAnsi="Arial Narrow"/>
          <w:i w:val="1"/>
          <w:rtl w:val="0"/>
        </w:rPr>
        <w:t xml:space="preserve">which states “Each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p>
    <w:p w:rsidR="00000000" w:rsidDel="00000000" w:rsidP="00000000" w:rsidRDefault="00000000" w:rsidRPr="00000000" w14:paraId="0000007F">
      <w:pPr>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0">
      <w:pPr>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will have a clear reason why it has not already settled the dispute, and the result that it wishes the Chair to deliver. There is a need therefore for it to set down clearly what it wants the Chair to find in its favour. Logically, when preparing the response submission, the decision sought from the Chair should be the first thing finalised, and arguments then marshalled to support the case for that outcome. That said, the Defendant should be clear that the decision sought is one that a Chair can give.</w:t>
      </w:r>
    </w:p>
    <w:p w:rsidR="00000000" w:rsidDel="00000000" w:rsidP="00000000" w:rsidRDefault="00000000" w:rsidRPr="00000000" w14:paraId="00000081">
      <w:pPr>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2">
      <w:pPr>
        <w:ind w:left="720" w:firstLine="0"/>
        <w:jc w:val="left"/>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5.2</w:t>
        <w:tab/>
      </w:r>
      <w:r w:rsidDel="00000000" w:rsidR="00000000" w:rsidRPr="00000000">
        <w:rPr>
          <w:rFonts w:ascii="Arial Narrow" w:cs="Arial Narrow" w:eastAsia="Arial Narrow" w:hAnsi="Arial Narrow"/>
          <w:b w:val="1"/>
          <w:i w:val="1"/>
          <w:rtl w:val="0"/>
        </w:rPr>
        <w:t xml:space="preserve">The Claimant will have set out any specific remedies sought. </w:t>
      </w:r>
      <w:r w:rsidDel="00000000" w:rsidR="00000000" w:rsidRPr="00000000">
        <w:rPr>
          <w:rFonts w:ascii="Arial Narrow" w:cs="Arial Narrow" w:eastAsia="Arial Narrow" w:hAnsi="Arial Narrow"/>
          <w:i w:val="1"/>
          <w:rtl w:val="0"/>
        </w:rPr>
        <w:t xml:space="preserve">Remedy is what the aggrieved Party contends it should be granted if the Chair finds in its favour. Access agreements are frequently prescriptive about such matters, and there are no benefits to be won from advancing arguments for remedies that lie outside the Chair’s powers which are governed by the </w:t>
      </w:r>
      <w:r w:rsidDel="00000000" w:rsidR="00000000" w:rsidRPr="00000000">
        <w:rPr>
          <w:rFonts w:ascii="Arial Narrow" w:cs="Arial Narrow" w:eastAsia="Arial Narrow" w:hAnsi="Arial Narrow"/>
          <w:b w:val="1"/>
          <w:i w:val="1"/>
          <w:rtl w:val="0"/>
        </w:rPr>
        <w:t xml:space="preserve">ADR Rule A6,</w:t>
      </w:r>
      <w:r w:rsidDel="00000000" w:rsidR="00000000" w:rsidRPr="00000000">
        <w:rPr>
          <w:rFonts w:ascii="Arial Narrow" w:cs="Arial Narrow" w:eastAsia="Arial Narrow" w:hAnsi="Arial Narrow"/>
          <w:i w:val="1"/>
          <w:rtl w:val="0"/>
        </w:rPr>
        <w:t xml:space="preserve"> which states: “Each and every Forum shall:</w:t>
      </w:r>
    </w:p>
    <w:p w:rsidR="00000000" w:rsidDel="00000000" w:rsidP="00000000" w:rsidRDefault="00000000" w:rsidRPr="00000000" w14:paraId="00000083">
      <w:pPr>
        <w:ind w:left="1440" w:hanging="72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r>
      <w:r w:rsidDel="00000000" w:rsidR="00000000" w:rsidRPr="00000000">
        <w:rPr>
          <w:rFonts w:ascii="Arial Narrow" w:cs="Arial Narrow" w:eastAsia="Arial Narrow" w:hAnsi="Arial Narrow"/>
          <w:i w:val="1"/>
          <w:color w:val="ff0000"/>
          <w:rtl w:val="0"/>
        </w:rPr>
        <w:t xml:space="preserve"> </w:t>
      </w:r>
      <w:r w:rsidDel="00000000" w:rsidR="00000000" w:rsidRPr="00000000">
        <w:rPr>
          <w:rFonts w:ascii="Arial Narrow" w:cs="Arial Narrow" w:eastAsia="Arial Narrow" w:hAnsi="Arial Narrow"/>
          <w:i w:val="1"/>
          <w:rtl w:val="0"/>
        </w:rPr>
        <w:t xml:space="preserve">where the Access Conditions or Underlying Contract require that a specific remedy be granted, grant that remedy accordingly; or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 </w:t>
        <w:tab/>
        <w:t xml:space="preserve">Where  a specific remedy is provided for at law, grant that remedy accordingly;or</w:t>
      </w:r>
    </w:p>
    <w:p w:rsidR="00000000" w:rsidDel="00000000" w:rsidP="00000000" w:rsidRDefault="00000000" w:rsidRPr="00000000" w14:paraId="00000085">
      <w:pPr>
        <w:ind w:left="1440" w:hanging="72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 </w:t>
        <w:tab/>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          </w:t>
      </w:r>
    </w:p>
    <w:p w:rsidR="00000000" w:rsidDel="00000000" w:rsidP="00000000" w:rsidRDefault="00000000" w:rsidRPr="00000000" w14:paraId="00000086">
      <w:pPr>
        <w:ind w:left="720" w:firstLine="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7">
      <w:pPr>
        <w:ind w:left="0" w:firstLine="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Defendant wishes to argue for an exercise of “discretion” as in (c) above, it must consider whether the Chair has such discretion given the provisions of (a) and (b). The Defendant should also clarify whether it believes that “exceptional circumstances” (see Network Code D5.3.1(c)) apply.</w:t>
      </w:r>
    </w:p>
    <w:p w:rsidR="00000000" w:rsidDel="00000000" w:rsidP="00000000" w:rsidRDefault="00000000" w:rsidRPr="00000000" w14:paraId="00000088">
      <w:pPr>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9">
      <w:pPr>
        <w:ind w:left="720" w:firstLine="0"/>
        <w:jc w:val="left"/>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5.3</w:t>
        <w:tab/>
      </w:r>
      <w:r w:rsidDel="00000000" w:rsidR="00000000" w:rsidRPr="00000000">
        <w:rPr>
          <w:rFonts w:ascii="Arial Narrow" w:cs="Arial Narrow" w:eastAsia="Arial Narrow" w:hAnsi="Arial Narrow"/>
          <w:i w:val="1"/>
          <w:rtl w:val="0"/>
        </w:rPr>
        <w:t xml:space="preserve">Clarify whether you wish the Hearing Chair to decide other issues- such as ordering costs.</w:t>
      </w:r>
    </w:p>
    <w:p w:rsidR="00000000" w:rsidDel="00000000" w:rsidP="00000000" w:rsidRDefault="00000000" w:rsidRPr="00000000" w14:paraId="0000008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C">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6</w:t>
        <w:tab/>
        <w:t xml:space="preserve">APPENDICES</w:t>
      </w:r>
    </w:p>
    <w:p w:rsidR="00000000" w:rsidDel="00000000" w:rsidP="00000000" w:rsidRDefault="00000000" w:rsidRPr="00000000" w14:paraId="0000008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E">
      <w:pPr>
        <w:rPr>
          <w:rFonts w:ascii="Arial Narrow" w:cs="Arial Narrow" w:eastAsia="Arial Narrow" w:hAnsi="Arial Narrow"/>
          <w:i w:val="1"/>
          <w:u w:val="single"/>
        </w:rPr>
      </w:pPr>
      <w:r w:rsidDel="00000000" w:rsidR="00000000" w:rsidRPr="00000000">
        <w:rPr>
          <w:rFonts w:ascii="Arial Narrow" w:cs="Arial Narrow" w:eastAsia="Arial Narrow" w:hAnsi="Arial Narrow"/>
          <w:rtl w:val="0"/>
        </w:rPr>
        <w:t xml:space="preserve">The Defendant confirms that it has complied with Access Dispute Resolution Rule H21 </w:t>
      </w:r>
      <w:r w:rsidDel="00000000" w:rsidR="00000000" w:rsidRPr="00000000">
        <w:rPr>
          <w:rFonts w:ascii="Arial Narrow" w:cs="Arial Narrow" w:eastAsia="Arial Narrow" w:hAnsi="Arial Narrow"/>
          <w:i w:val="1"/>
          <w:rtl w:val="0"/>
        </w:rPr>
        <w:t xml:space="preserve">[which requires that “Copies of the following documents… shall also be annexed and cross references to the response </w:t>
      </w:r>
      <w:r w:rsidDel="00000000" w:rsidR="00000000" w:rsidRPr="00000000">
        <w:rPr>
          <w:rFonts w:ascii="Arial Narrow" w:cs="Arial Narrow" w:eastAsia="Arial Narrow" w:hAnsi="Arial Narrow"/>
          <w:i w:val="1"/>
          <w:u w:val="single"/>
          <w:rtl w:val="0"/>
        </w:rPr>
        <w:t xml:space="preserve">if not dealt with in the reference:</w:t>
      </w:r>
    </w:p>
    <w:p w:rsidR="00000000" w:rsidDel="00000000" w:rsidP="00000000" w:rsidRDefault="00000000" w:rsidRPr="00000000" w14:paraId="0000008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0">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contractual Documents containing the provision(s) under which the referral to the Timetabling Panel arises and/or provisions associated with the substance of the dispute; and</w:t>
      </w:r>
    </w:p>
    <w:p w:rsidR="00000000" w:rsidDel="00000000" w:rsidP="00000000" w:rsidRDefault="00000000" w:rsidRPr="00000000" w14:paraId="0000009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2">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any other Documents referred to in the response.”]</w:t>
      </w:r>
    </w:p>
    <w:p w:rsidR="00000000" w:rsidDel="00000000" w:rsidP="00000000" w:rsidRDefault="00000000" w:rsidRPr="00000000" w14:paraId="00000093">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is undesirable for complete documents to be provided to the Panel- relevant extracts which support the Defendant's position are sufficient.</w:t>
      </w:r>
    </w:p>
    <w:p w:rsidR="00000000" w:rsidDel="00000000" w:rsidP="00000000" w:rsidRDefault="00000000" w:rsidRPr="00000000" w14:paraId="0000009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dispute relates to  previous (i.e. no longer current) versions of the Access Conditions / Network Code, you should include </w:t>
      </w:r>
      <w:r w:rsidDel="00000000" w:rsidR="00000000" w:rsidRPr="00000000">
        <w:rPr>
          <w:rFonts w:ascii="Arial Narrow" w:cs="Arial Narrow" w:eastAsia="Arial Narrow" w:hAnsi="Arial Narrow"/>
          <w:i w:val="1"/>
          <w:u w:val="single"/>
          <w:rtl w:val="0"/>
        </w:rPr>
        <w:t xml:space="preserve">extracts only</w:t>
      </w:r>
      <w:r w:rsidDel="00000000" w:rsidR="00000000" w:rsidRPr="00000000">
        <w:rPr>
          <w:rFonts w:ascii="Arial Narrow" w:cs="Arial Narrow" w:eastAsia="Arial Narrow" w:hAnsi="Arial Narrow"/>
          <w:i w:val="1"/>
          <w:rtl w:val="0"/>
        </w:rPr>
        <w:t xml:space="preserve"> of these documents.</w:t>
      </w:r>
    </w:p>
    <w:p w:rsidR="00000000" w:rsidDel="00000000" w:rsidP="00000000" w:rsidRDefault="00000000" w:rsidRPr="00000000" w14:paraId="0000009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appendices and annexes are bound into the submission and consecutively page numbered. To assist the Panel, quotations or references that are cited in the formal submission are highlighted (or side-lined) so that the context of the quotation or reference is apparent.</w:t>
      </w:r>
    </w:p>
    <w:p w:rsidR="00000000" w:rsidDel="00000000" w:rsidP="00000000" w:rsidRDefault="00000000" w:rsidRPr="00000000" w14:paraId="0000009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9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C">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7</w:t>
        <w:tab/>
        <w:t xml:space="preserve">SIGNATURE</w:t>
      </w:r>
    </w:p>
    <w:p w:rsidR="00000000" w:rsidDel="00000000" w:rsidP="00000000" w:rsidRDefault="00000000" w:rsidRPr="00000000" w14:paraId="0000009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E">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 and on behalf of</w:t>
      </w:r>
    </w:p>
    <w:p w:rsidR="00000000" w:rsidDel="00000000" w:rsidP="00000000" w:rsidRDefault="00000000" w:rsidRPr="00000000" w14:paraId="0000009F">
      <w:pPr>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[insert full company name</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A0">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__________________________________</w:t>
      </w:r>
    </w:p>
    <w:p w:rsidR="00000000" w:rsidDel="00000000" w:rsidP="00000000" w:rsidRDefault="00000000" w:rsidRPr="00000000" w14:paraId="000000A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Signed</w:t>
      </w:r>
    </w:p>
    <w:p w:rsidR="00000000" w:rsidDel="00000000" w:rsidP="00000000" w:rsidRDefault="00000000" w:rsidRPr="00000000" w14:paraId="000000A3">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_________________________________</w:t>
      </w:r>
    </w:p>
    <w:p w:rsidR="00000000" w:rsidDel="00000000" w:rsidP="00000000" w:rsidRDefault="00000000" w:rsidRPr="00000000" w14:paraId="000000A5">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Print Name</w:t>
      </w:r>
    </w:p>
    <w:p w:rsidR="00000000" w:rsidDel="00000000" w:rsidP="00000000" w:rsidRDefault="00000000" w:rsidRPr="00000000" w14:paraId="000000A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__________________________________</w:t>
      </w:r>
    </w:p>
    <w:p w:rsidR="00000000" w:rsidDel="00000000" w:rsidP="00000000" w:rsidRDefault="00000000" w:rsidRPr="00000000" w14:paraId="000000A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Position</w:t>
      </w:r>
    </w:p>
    <w:p w:rsidR="00000000" w:rsidDel="00000000" w:rsidP="00000000" w:rsidRDefault="00000000" w:rsidRPr="00000000" w14:paraId="000000A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w:t>
      </w:r>
    </w:p>
    <w:p w:rsidR="00000000" w:rsidDel="00000000" w:rsidP="00000000" w:rsidRDefault="00000000" w:rsidRPr="00000000" w14:paraId="000000A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a control mechanism; it provides the Panel with assurance that the dispute has been referred with the knowledge and understanding of the disputing corporate body. This is important, as engaging in formal dispute resolution implies a commitment to accepting the outcome of that process.</w:t>
      </w:r>
    </w:p>
    <w:p w:rsidR="00000000" w:rsidDel="00000000" w:rsidP="00000000" w:rsidRDefault="00000000" w:rsidRPr="00000000" w14:paraId="000000A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this context, the Claimant is reminded that in sending representatives to argue its case before the Panel, “ it shall… ensure that … the competencies, skills and knowledge of any chosen representative are appropriate to the issue involved in the dispute (content, subject and value); [ADR Rule A19]</w:t>
      </w:r>
    </w:p>
    <w:p w:rsidR="00000000" w:rsidDel="00000000" w:rsidP="00000000" w:rsidRDefault="00000000" w:rsidRPr="00000000" w14:paraId="000000A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Now provide the Appendices (</w:t>
      </w:r>
      <w:r w:rsidDel="00000000" w:rsidR="00000000" w:rsidRPr="00000000">
        <w:rPr>
          <w:rFonts w:ascii="Arial Narrow" w:cs="Arial Narrow" w:eastAsia="Arial Narrow" w:hAnsi="Arial Narrow"/>
          <w:b w:val="1"/>
          <w:i w:val="1"/>
          <w:rtl w:val="0"/>
        </w:rPr>
        <w:t xml:space="preserve">“The Appendices”) </w:t>
      </w:r>
      <w:r w:rsidDel="00000000" w:rsidR="00000000" w:rsidRPr="00000000">
        <w:rPr>
          <w:rFonts w:ascii="Arial Narrow" w:cs="Arial Narrow" w:eastAsia="Arial Narrow" w:hAnsi="Arial Narrow"/>
          <w:i w:val="1"/>
          <w:rtl w:val="0"/>
        </w:rPr>
        <w:t xml:space="preserve">using a page break. A covering list of Appendices will be helpful. Bear in mind that the Panel and Chair will need to read everything submitted; only include material that will genuinely be helpful to the Panel, for example, do not append entire Network Code Chapters or entire policy documents - the relevant extracts will suffice.</w:t>
      </w:r>
    </w:p>
    <w:sectPr>
      <w:footerReference r:id="rId7" w:type="default"/>
      <w:pgSz w:h="16834" w:w="11909" w:orient="portrait"/>
      <w:pgMar w:bottom="1440.0000000000002"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fv0jYwplcfQVDotND7YA7V72Q==">CgMxLjAyCGguZ2pkZ3hzMgloLjMwajB6bGwyCWguMWZvYjl0ZTIJaC4zem55c2g3OAByITFyQTY1LXpuNnhPTFhpdWozWFV5OWZDeU5OWmg0QW0tbA==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