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rial Narrow" w:cs="Arial Narrow" w:eastAsia="Arial Narrow" w:hAnsi="Arial Narrow"/>
          <w:i w:val="1"/>
          <w:sz w:val="38"/>
          <w:szCs w:val="38"/>
        </w:rPr>
      </w:pPr>
      <w:bookmarkStart w:colFirst="0" w:colLast="0" w:name="_heading=h.gjdgxs" w:id="0"/>
      <w:bookmarkEnd w:id="0"/>
      <w:r w:rsidDel="00000000" w:rsidR="00000000" w:rsidRPr="00000000">
        <w:rPr>
          <w:rFonts w:ascii="Arial Narrow" w:cs="Arial Narrow" w:eastAsia="Arial Narrow" w:hAnsi="Arial Narrow"/>
          <w:i w:val="1"/>
          <w:sz w:val="38"/>
          <w:szCs w:val="38"/>
          <w:rtl w:val="0"/>
        </w:rPr>
        <w:t xml:space="preserve">Template Format (with advisory annotations) for a </w:t>
      </w:r>
    </w:p>
    <w:p w:rsidR="00000000" w:rsidDel="00000000" w:rsidP="00000000" w:rsidRDefault="00000000" w:rsidRPr="00000000" w14:paraId="00000002">
      <w:pPr>
        <w:pStyle w:val="Title"/>
        <w:jc w:val="center"/>
        <w:rPr>
          <w:rFonts w:ascii="Arial Narrow" w:cs="Arial Narrow" w:eastAsia="Arial Narrow" w:hAnsi="Arial Narrow"/>
          <w:i w:val="1"/>
          <w:sz w:val="38"/>
          <w:szCs w:val="38"/>
        </w:rPr>
      </w:pPr>
      <w:bookmarkStart w:colFirst="0" w:colLast="0" w:name="_heading=h.30j0zll" w:id="1"/>
      <w:bookmarkEnd w:id="1"/>
      <w:r w:rsidDel="00000000" w:rsidR="00000000" w:rsidRPr="00000000">
        <w:rPr>
          <w:rFonts w:ascii="Arial Narrow" w:cs="Arial Narrow" w:eastAsia="Arial Narrow" w:hAnsi="Arial Narrow"/>
          <w:i w:val="1"/>
          <w:sz w:val="38"/>
          <w:szCs w:val="38"/>
          <w:rtl w:val="0"/>
        </w:rPr>
        <w:t xml:space="preserve">   Statement of Defence for determination by Access Dispute Adjudication (“ADA”)  </w:t>
      </w:r>
    </w:p>
    <w:p w:rsidR="00000000" w:rsidDel="00000000" w:rsidP="00000000" w:rsidRDefault="00000000" w:rsidRPr="00000000" w14:paraId="00000003">
      <w:pPr>
        <w:pStyle w:val="Title"/>
        <w:jc w:val="center"/>
        <w:rPr>
          <w:rFonts w:ascii="Arial Narrow" w:cs="Arial Narrow" w:eastAsia="Arial Narrow" w:hAnsi="Arial Narrow"/>
          <w:i w:val="1"/>
          <w:sz w:val="38"/>
          <w:szCs w:val="38"/>
        </w:rPr>
      </w:pPr>
      <w:bookmarkStart w:colFirst="0" w:colLast="0" w:name="_heading=h.1fob9te" w:id="2"/>
      <w:bookmarkEnd w:id="2"/>
      <w:r w:rsidDel="00000000" w:rsidR="00000000" w:rsidRPr="00000000">
        <w:rPr>
          <w:rFonts w:ascii="Arial Narrow" w:cs="Arial Narrow" w:eastAsia="Arial Narrow" w:hAnsi="Arial Narrow"/>
          <w:i w:val="1"/>
          <w:sz w:val="38"/>
          <w:szCs w:val="38"/>
          <w:rtl w:val="0"/>
        </w:rPr>
        <w:t xml:space="preserve">in accordance with the provisions of Chapter G of the ADR Rules effective from 1 August 2010 </w:t>
      </w:r>
    </w:p>
    <w:p w:rsidR="00000000" w:rsidDel="00000000" w:rsidP="00000000" w:rsidRDefault="00000000" w:rsidRPr="00000000" w14:paraId="00000004">
      <w:pPr>
        <w:pStyle w:val="Title"/>
        <w:jc w:val="center"/>
        <w:rPr>
          <w:rFonts w:ascii="Arial Narrow" w:cs="Arial Narrow" w:eastAsia="Arial Narrow" w:hAnsi="Arial Narrow"/>
          <w:i w:val="1"/>
          <w:sz w:val="38"/>
          <w:szCs w:val="38"/>
        </w:rPr>
      </w:pPr>
      <w:bookmarkStart w:colFirst="0" w:colLast="0" w:name="_heading=h.3znysh7" w:id="3"/>
      <w:bookmarkEnd w:id="3"/>
      <w:r w:rsidDel="00000000" w:rsidR="00000000" w:rsidRPr="00000000">
        <w:rPr>
          <w:rFonts w:ascii="Arial Narrow" w:cs="Arial Narrow" w:eastAsia="Arial Narrow" w:hAnsi="Arial Narrow"/>
          <w:i w:val="1"/>
          <w:sz w:val="38"/>
          <w:szCs w:val="38"/>
          <w:rtl w:val="0"/>
        </w:rPr>
        <w:t xml:space="preserve">(and as subsequently amended)</w:t>
      </w:r>
    </w:p>
    <w:p w:rsidR="00000000" w:rsidDel="00000000" w:rsidP="00000000" w:rsidRDefault="00000000" w:rsidRPr="00000000" w14:paraId="0000000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template, as required by ADR Rule G16(a), is to be used by the Defendant Dispute Party to prepare a Statement of Defence for an ADA hearing. Within the template, text in italics is advisory and should, once taken into account, be deleted from the final document.</w:t>
      </w:r>
    </w:p>
    <w:p w:rsidR="00000000" w:rsidDel="00000000" w:rsidP="00000000" w:rsidRDefault="00000000" w:rsidRPr="00000000" w14:paraId="0000000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Preamble</w:t>
      </w:r>
    </w:p>
    <w:p w:rsidR="00000000" w:rsidDel="00000000" w:rsidP="00000000" w:rsidRDefault="00000000" w:rsidRPr="00000000" w14:paraId="00000009">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Access Dispute Resolution Rules provide that “All disputes referred to resolution in accordance with these Rules under Condition B2.4.4 of the Network Code shall be referred to an ADEA in accordance with Chapter G as a single stage dispute resolution process with no appeal. Following service of a Notice of Dispute relating to such a dispute an ADA shall commence…</w:t>
      </w:r>
    </w:p>
    <w:p w:rsidR="00000000" w:rsidDel="00000000" w:rsidP="00000000" w:rsidRDefault="00000000" w:rsidRPr="00000000" w14:paraId="0000000A">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Except as stipulated in Rule B8, all disputes referred to resolution in accordance with these Rules under Part J of the Network Code shall be referred to an ADA in accordance with Chapter G with a right to appeal to the ORR for determination in accordance with Part M of the Network Code.  Following service of a Notice of Dispute relating to such a dispute an ADA shall commence…” [ADR Rules B6 and B7 “Allocation Process”]</w:t>
      </w:r>
    </w:p>
    <w:p w:rsidR="00000000" w:rsidDel="00000000" w:rsidP="00000000" w:rsidRDefault="00000000" w:rsidRPr="00000000" w14:paraId="0000000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addition,</w:t>
      </w:r>
    </w:p>
    <w:p w:rsidR="00000000" w:rsidDel="00000000" w:rsidP="00000000" w:rsidRDefault="00000000" w:rsidRPr="00000000" w14:paraId="0000000E">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F">
      <w:pPr>
        <w:numPr>
          <w:ilvl w:val="0"/>
          <w:numId w:val="6"/>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Dispute Parties may, in accordance with ADR Rule B11, agree within a formal “Procedure Agreement” that an ADA is the most appropriate determination procedure for their particular dispute, or,</w:t>
      </w:r>
    </w:p>
    <w:p w:rsidR="00000000" w:rsidDel="00000000" w:rsidP="00000000" w:rsidRDefault="00000000" w:rsidRPr="00000000" w14:paraId="00000010">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1">
      <w:pPr>
        <w:numPr>
          <w:ilvl w:val="0"/>
          <w:numId w:val="9"/>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Parties cannot agree which is the most appropriate determination procedure for their particular dispute, the Allocation Chair shall preside over the process set out in Rule B14, which may result in the formulation of a Procedure Agreement providing for the Parties to submit to the determination of an ADA.</w:t>
      </w:r>
    </w:p>
    <w:p w:rsidR="00000000" w:rsidDel="00000000" w:rsidP="00000000" w:rsidRDefault="00000000" w:rsidRPr="00000000" w14:paraId="0000001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detailed Management and Determination of each individual dispute heard by an ADA shall be subject to the direction of the Hearing Chair (as appointed by the Secretary as provided in ADR Rules B16 and G8). ADR Rule G10 provides that, </w:t>
      </w:r>
    </w:p>
    <w:p w:rsidR="00000000" w:rsidDel="00000000" w:rsidP="00000000" w:rsidRDefault="00000000" w:rsidRPr="00000000" w14:paraId="0000001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“Upon appointment, the Hearing Chair shall adopt procedures suitable to the circumstances of the case, avoiding unnecessary delay or expense to provide a fair means for the resolution of the matters falling to be determined. The Hearing Chair may give appropriate directions as to any or all aspects of the procedure to be followed and shall have the power at any time to make or amend the procedure (and the directions) to be followed by the parties in the ADA. The directions shall be in accordance with the Principles.” [ADR Rule G10]</w:t>
      </w:r>
    </w:p>
    <w:p w:rsidR="00000000" w:rsidDel="00000000" w:rsidP="00000000" w:rsidRDefault="00000000" w:rsidRPr="00000000" w14:paraId="00000016">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ADR Rule G15 provides the Hearing Chair with discretion to amend the procedures.</w:t>
      </w:r>
    </w:p>
    <w:p w:rsidR="00000000" w:rsidDel="00000000" w:rsidP="00000000" w:rsidRDefault="00000000" w:rsidRPr="00000000" w14:paraId="00000018">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The ADA process is flexible and may be adapted by the Hearing Chair to accommodate disputes of differing complexity and size and requiring different levels of evidence. The Hearing chair shall therefore actively consider whether variation on the standard directions (which are for a straightforward matter) set out in Rule G17 are appropriate” [Rule G15]</w:t>
      </w:r>
    </w:p>
    <w:p w:rsidR="00000000" w:rsidDel="00000000" w:rsidP="00000000" w:rsidRDefault="00000000" w:rsidRPr="00000000" w14:paraId="0000001A">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Template formats corresponding to the requirements set down in ADR Rule G16 (a) are provided in order that the Parties shall be prompted to ensure that all material relevant to their respective arguments are available to the laid won timescale (i.e. Rule G16, or as modified in the Procedure Agreement)</w:t>
      </w:r>
    </w:p>
    <w:p w:rsidR="00000000" w:rsidDel="00000000" w:rsidP="00000000" w:rsidRDefault="00000000" w:rsidRPr="00000000" w14:paraId="0000001C">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the other Dispute Party (Parties), and</w:t>
      </w:r>
    </w:p>
    <w:p w:rsidR="00000000" w:rsidDel="00000000" w:rsidP="00000000" w:rsidRDefault="00000000" w:rsidRPr="00000000" w14:paraId="0000001E">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subject to confidentiality considerations, to be published on the ADC website;</w:t>
      </w:r>
    </w:p>
    <w:p w:rsidR="00000000" w:rsidDel="00000000" w:rsidP="00000000" w:rsidRDefault="00000000" w:rsidRPr="00000000" w14:paraId="00000020">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always bearing in mind that “The length of every reference and response shall be in proportion to the nature and complexity of the dispute. Unless otherwise agreed by the Hearing Chair, the maximum length of submission shall be as follows… a statement of claim or defence shall be no longer than 20 pages;” [ADR Rule G21(a)], and that</w:t>
      </w:r>
    </w:p>
    <w:p w:rsidR="00000000" w:rsidDel="00000000" w:rsidP="00000000" w:rsidRDefault="00000000" w:rsidRPr="00000000" w14:paraId="00000022">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“An Access Dispute Adjudication (ADA) under these Rules is a determinative dispute resolution process in which, with the benefit of advice from independent railway Advisors, a Hearing Chair determines the dispute in a timely and efficient manner </w:t>
      </w:r>
      <w:r w:rsidDel="00000000" w:rsidR="00000000" w:rsidRPr="00000000">
        <w:rPr>
          <w:rFonts w:ascii="Arial Narrow" w:cs="Arial Narrow" w:eastAsia="Arial Narrow" w:hAnsi="Arial Narrow"/>
          <w:i w:val="1"/>
          <w:u w:val="singl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i w:val="1"/>
          <w:rtl w:val="0"/>
        </w:rPr>
        <w:t xml:space="preserve">” [ADR Rule G1]</w:t>
      </w:r>
    </w:p>
    <w:p w:rsidR="00000000" w:rsidDel="00000000" w:rsidP="00000000" w:rsidRDefault="00000000" w:rsidRPr="00000000" w14:paraId="00000024">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most important thing to bear in mind is to explain the background, facts and remedy being sought as clearly and concisely as possible, including only those appendices which actively support what is being submitted (e.g. there is no need to submit the entire Engineering Access Statement document; the relevant excerpt will do).</w:t>
      </w:r>
    </w:p>
    <w:p w:rsidR="00000000" w:rsidDel="00000000" w:rsidP="00000000" w:rsidRDefault="00000000" w:rsidRPr="00000000" w14:paraId="00000026">
      <w:pPr>
        <w:rPr>
          <w:rFonts w:ascii="Arial Narrow" w:cs="Arial Narrow" w:eastAsia="Arial Narrow" w:hAnsi="Arial Narrow"/>
          <w:i w:val="1"/>
        </w:rPr>
      </w:pPr>
      <w:r w:rsidDel="00000000" w:rsidR="00000000" w:rsidRPr="00000000">
        <w:br w:type="page"/>
      </w: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THE TEMPLATE</w:t>
      </w:r>
    </w:p>
    <w:p w:rsidR="00000000" w:rsidDel="00000000" w:rsidP="00000000" w:rsidRDefault="00000000" w:rsidRPr="00000000" w14:paraId="0000002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DETAILS OF PARTIES</w:t>
      </w:r>
    </w:p>
    <w:p w:rsidR="00000000" w:rsidDel="00000000" w:rsidP="00000000" w:rsidRDefault="00000000" w:rsidRPr="00000000" w14:paraId="0000002A">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tab/>
        <w:t xml:space="preserve">The names and addresses of the parties to the reference are as follows:-</w:t>
      </w:r>
    </w:p>
    <w:p w:rsidR="00000000" w:rsidDel="00000000" w:rsidP="00000000" w:rsidRDefault="00000000" w:rsidRPr="00000000" w14:paraId="0000002C">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D">
      <w:pPr>
        <w:ind w:left="144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(a)</w:t>
      </w:r>
      <w:sdt>
        <w:sdtPr>
          <w:tag w:val="goog_rdk_0"/>
        </w:sdtPr>
        <w:sdtContent>
          <w:r w:rsidDel="00000000" w:rsidR="00000000" w:rsidRPr="00000000">
            <w:rPr>
              <w:rFonts w:ascii="Arial Unicode MS" w:cs="Arial Unicode MS" w:eastAsia="Arial Unicode MS" w:hAnsi="Arial Unicode MS"/>
              <w:i w:val="1"/>
              <w:rtl w:val="0"/>
            </w:rPr>
            <w:t xml:space="preserve">［Full Company name - xxxxxx Limited］</w:t>
          </w:r>
        </w:sdtContent>
      </w:sdt>
      <w:r w:rsidDel="00000000" w:rsidR="00000000" w:rsidRPr="00000000">
        <w:rPr>
          <w:rFonts w:ascii="Arial Narrow" w:cs="Arial Narrow" w:eastAsia="Arial Narrow" w:hAnsi="Arial Narrow"/>
          <w:rtl w:val="0"/>
        </w:rPr>
        <w:t xml:space="preserve">(Company Number xxxxxxx) whose Registered Office is at</w:t>
      </w:r>
      <w:r w:rsidDel="00000000" w:rsidR="00000000" w:rsidRPr="00000000">
        <w:rPr>
          <w:rFonts w:ascii="Arial Narrow" w:cs="Arial Narrow" w:eastAsia="Arial Narrow" w:hAnsi="Arial Narrow"/>
          <w:i w:val="1"/>
          <w:rtl w:val="0"/>
        </w:rPr>
        <w:t xml:space="preserve"> [Insert Full address]</w:t>
      </w:r>
      <w:r w:rsidDel="00000000" w:rsidR="00000000" w:rsidRPr="00000000">
        <w:rPr>
          <w:rFonts w:ascii="Arial Narrow" w:cs="Arial Narrow" w:eastAsia="Arial Narrow" w:hAnsi="Arial Narrow"/>
          <w:rtl w:val="0"/>
        </w:rPr>
        <w:t xml:space="preserve"> (“</w:t>
      </w:r>
      <w:sdt>
        <w:sdtPr>
          <w:tag w:val="goog_rdk_1"/>
        </w:sdtPr>
        <w:sdtContent>
          <w:r w:rsidDel="00000000" w:rsidR="00000000" w:rsidRPr="00000000">
            <w:rPr>
              <w:rFonts w:ascii="Arial Unicode MS" w:cs="Arial Unicode MS" w:eastAsia="Arial Unicode MS" w:hAnsi="Arial Unicode MS"/>
              <w:i w:val="1"/>
              <w:rtl w:val="0"/>
            </w:rPr>
            <w:t xml:space="preserve">［insert short form or abbreviation for Company name］</w:t>
          </w:r>
        </w:sdtContent>
      </w:sdt>
      <w:r w:rsidDel="00000000" w:rsidR="00000000" w:rsidRPr="00000000">
        <w:rPr>
          <w:rFonts w:ascii="Arial Narrow" w:cs="Arial Narrow" w:eastAsia="Arial Narrow" w:hAnsi="Arial Narrow"/>
          <w:rtl w:val="0"/>
        </w:rPr>
        <w:t xml:space="preserve">) (“the Claimant”); and </w:t>
      </w:r>
    </w:p>
    <w:p w:rsidR="00000000" w:rsidDel="00000000" w:rsidP="00000000" w:rsidRDefault="00000000" w:rsidRPr="00000000" w14:paraId="0000002E">
      <w:pPr>
        <w:ind w:left="144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F">
      <w:pPr>
        <w:ind w:left="144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(b)</w:t>
      </w:r>
      <w:sdt>
        <w:sdtPr>
          <w:tag w:val="goog_rdk_2"/>
        </w:sdtPr>
        <w:sdtContent>
          <w:r w:rsidDel="00000000" w:rsidR="00000000" w:rsidRPr="00000000">
            <w:rPr>
              <w:rFonts w:ascii="Arial Unicode MS" w:cs="Arial Unicode MS" w:eastAsia="Arial Unicode MS" w:hAnsi="Arial Unicode MS"/>
              <w:i w:val="1"/>
              <w:rtl w:val="0"/>
            </w:rPr>
            <w:t xml:space="preserve">［Insert Full company name Limited ] </w:t>
          </w:r>
        </w:sdtContent>
      </w:sdt>
      <w:r w:rsidDel="00000000" w:rsidR="00000000" w:rsidRPr="00000000">
        <w:rPr>
          <w:rFonts w:ascii="Arial Narrow" w:cs="Arial Narrow" w:eastAsia="Arial Narrow" w:hAnsi="Arial Narrow"/>
          <w:rtl w:val="0"/>
        </w:rPr>
        <w:t xml:space="preserve">whose Registered Office is at</w:t>
      </w:r>
      <w:sdt>
        <w:sdtPr>
          <w:tag w:val="goog_rdk_3"/>
        </w:sdtPr>
        <w:sdtContent>
          <w:r w:rsidDel="00000000" w:rsidR="00000000" w:rsidRPr="00000000">
            <w:rPr>
              <w:rFonts w:ascii="Arial Unicode MS" w:cs="Arial Unicode MS" w:eastAsia="Arial Unicode MS" w:hAnsi="Arial Unicode MS"/>
              <w:i w:val="1"/>
              <w:rtl w:val="0"/>
            </w:rPr>
            <w:t xml:space="preserve"> [Insert Full address］</w:t>
          </w:r>
        </w:sdtContent>
      </w:sdt>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i w:val="1"/>
          <w:rtl w:val="0"/>
        </w:rPr>
        <w:t xml:space="preserve">[Insert short form or abbreviation for Company name]” </w:t>
      </w:r>
      <w:r w:rsidDel="00000000" w:rsidR="00000000" w:rsidRPr="00000000">
        <w:rPr>
          <w:rFonts w:ascii="Arial Narrow" w:cs="Arial Narrow" w:eastAsia="Arial Narrow" w:hAnsi="Arial Narrow"/>
          <w:rtl w:val="0"/>
        </w:rPr>
        <w:t xml:space="preserve">(“the Defendant”)).</w:t>
      </w:r>
    </w:p>
    <w:p w:rsidR="00000000" w:rsidDel="00000000" w:rsidP="00000000" w:rsidRDefault="00000000" w:rsidRPr="00000000" w14:paraId="00000030">
      <w:pPr>
        <w:ind w:left="2160" w:hanging="72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1">
      <w:pPr>
        <w:ind w:left="2160" w:hanging="72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(c) </w:t>
      </w:r>
      <w:r w:rsidDel="00000000" w:rsidR="00000000" w:rsidRPr="00000000">
        <w:rPr>
          <w:rFonts w:ascii="Arial Narrow" w:cs="Arial Narrow" w:eastAsia="Arial Narrow" w:hAnsi="Arial Narrow"/>
          <w:i w:val="1"/>
          <w:rtl w:val="0"/>
        </w:rPr>
        <w:t xml:space="preserve">Include correspondence address, contact details and email address if  </w:t>
      </w:r>
    </w:p>
    <w:p w:rsidR="00000000" w:rsidDel="00000000" w:rsidP="00000000" w:rsidRDefault="00000000" w:rsidRPr="00000000" w14:paraId="00000032">
      <w:pPr>
        <w:ind w:left="2160" w:hanging="720"/>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     different</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3">
      <w:pPr>
        <w:ind w:firstLine="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ind w:left="1440.0000000000002"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1.2</w:t>
        <w:tab/>
      </w:r>
      <w:r w:rsidDel="00000000" w:rsidR="00000000" w:rsidRPr="00000000">
        <w:rPr>
          <w:rFonts w:ascii="Arial Narrow" w:cs="Arial Narrow" w:eastAsia="Arial Narrow" w:hAnsi="Arial Narrow"/>
          <w:i w:val="1"/>
          <w:rtl w:val="0"/>
        </w:rPr>
        <w:t xml:space="preserve">Where the Defendant is aware that any third party may be affected by the ADA finding in any of the ways sought in this reference, it should ensure that this information is conveyed to the Secretary of the ADC at the earliest possible opportunity, and the names of the relevant parties recorded here, under Section 1.2. The affected Parties can seek the guidance of the Hearing Chair (via the Secretary) as to any format to be used in respect of their representations. If there are no third parties please state so.</w:t>
      </w:r>
    </w:p>
    <w:p w:rsidR="00000000" w:rsidDel="00000000" w:rsidP="00000000" w:rsidRDefault="00000000" w:rsidRPr="00000000" w14:paraId="00000035">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THE DEFENDANT’S RIGHT TO CONTEST THIS REFERENCE </w:t>
      </w:r>
    </w:p>
    <w:p w:rsidR="00000000" w:rsidDel="00000000" w:rsidP="00000000" w:rsidRDefault="00000000" w:rsidRPr="00000000" w14:paraId="00000038">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tab/>
        <w:t xml:space="preserve">This matter is referred to the Access Dispute Adjudication (“ADA” for determination in accordance with Section </w:t>
      </w:r>
      <w:r w:rsidDel="00000000" w:rsidR="00000000" w:rsidRPr="00000000">
        <w:rPr>
          <w:rFonts w:ascii="Arial Narrow" w:cs="Arial Narrow" w:eastAsia="Arial Narrow" w:hAnsi="Arial Narrow"/>
          <w:i w:val="1"/>
          <w:rtl w:val="0"/>
        </w:rPr>
        <w:t xml:space="preserve">[ ] </w:t>
      </w:r>
      <w:r w:rsidDel="00000000" w:rsidR="00000000" w:rsidRPr="00000000">
        <w:rPr>
          <w:rFonts w:ascii="Arial Narrow" w:cs="Arial Narrow" w:eastAsia="Arial Narrow" w:hAnsi="Arial Narrow"/>
          <w:rtl w:val="0"/>
        </w:rPr>
        <w:t xml:space="preserve">of</w:t>
      </w:r>
      <w:r w:rsidDel="00000000" w:rsidR="00000000" w:rsidRPr="00000000">
        <w:rPr>
          <w:rFonts w:ascii="Arial Narrow" w:cs="Arial Narrow" w:eastAsia="Arial Narrow" w:hAnsi="Arial Narrow"/>
          <w:i w:val="1"/>
          <w:rtl w:val="0"/>
        </w:rPr>
        <w:t xml:space="preserve"> [ ] contract/Condition [ ] of the [Network Code] * delete as appropriate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A">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needs to make explicitly clear what provisions of its contract entitle, or direct it to defend its disputed actions before an ADA. This means a summary, but with verbatim quotations, of those terms of the contract that direct the parties how they should reach agreement, or, where this fails, what form of dispute resolution they should take.</w:t>
      </w:r>
    </w:p>
    <w:p w:rsidR="00000000" w:rsidDel="00000000" w:rsidP="00000000" w:rsidRDefault="00000000" w:rsidRPr="00000000" w14:paraId="0000003C">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3D">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Defendant is disputing the Claimant’s right to bring the particular dispute, this should be identified here.</w:t>
      </w:r>
    </w:p>
    <w:p w:rsidR="00000000" w:rsidDel="00000000" w:rsidP="00000000" w:rsidRDefault="00000000" w:rsidRPr="00000000" w14:paraId="0000003E">
      <w:pPr>
        <w:ind w:left="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CONTENTS OF REFERENCE</w:t>
      </w:r>
    </w:p>
    <w:p w:rsidR="00000000" w:rsidDel="00000000" w:rsidP="00000000" w:rsidRDefault="00000000" w:rsidRPr="00000000" w14:paraId="00000040">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Statement of Defence includes:-</w:t>
      </w:r>
    </w:p>
    <w:p w:rsidR="00000000" w:rsidDel="00000000" w:rsidP="00000000" w:rsidRDefault="00000000" w:rsidRPr="00000000" w14:paraId="00000042">
      <w:pPr>
        <w:ind w:left="1440" w:hanging="72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43">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Confirmation, or qualification, that the subject matter of the dispute is as set out by the Claimant in its Statement of Claim, in the form of a summary schedule cross-referenced to the issues disputed by the Claimant in its Statement of Claim, identifying which the Defendant agrees with and which it disagrees with.</w:t>
      </w:r>
    </w:p>
    <w:p w:rsidR="00000000" w:rsidDel="00000000" w:rsidP="00000000" w:rsidRDefault="00000000" w:rsidRPr="00000000" w14:paraId="00000044">
      <w:pPr>
        <w:ind w:left="1440" w:hanging="72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 detailed explanation of the Defendant’s arguments in support of its position on those issues where it disagrees with the Claimant’s submission, including references to documents or contractual provisions not dealt with in the Statement of Claim.</w:t>
      </w:r>
    </w:p>
    <w:p w:rsidR="00000000" w:rsidDel="00000000" w:rsidP="00000000" w:rsidRDefault="00000000" w:rsidRPr="00000000" w14:paraId="00000046">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further related issues not raised by the Claimant, but which the Defendant considers fall to be determined as part of the dispute;</w:t>
      </w:r>
    </w:p>
    <w:p w:rsidR="00000000" w:rsidDel="00000000" w:rsidP="00000000" w:rsidRDefault="00000000" w:rsidRPr="00000000" w14:paraId="00000048">
      <w:pPr>
        <w:ind w:left="144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decision of principle sought from the Chair in respect of:</w:t>
      </w:r>
    </w:p>
    <w:p w:rsidR="00000000" w:rsidDel="00000000" w:rsidP="00000000" w:rsidRDefault="00000000" w:rsidRPr="00000000" w14:paraId="0000004A">
      <w:pPr>
        <w:ind w:left="216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w:t>
        <w:tab/>
        <w:t xml:space="preserve">legal entitlement, and</w:t>
      </w:r>
    </w:p>
    <w:p w:rsidR="00000000" w:rsidDel="00000000" w:rsidP="00000000" w:rsidRDefault="00000000" w:rsidRPr="00000000" w14:paraId="0000004B">
      <w:pPr>
        <w:ind w:left="216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(ii)</w:t>
        <w:tab/>
        <w:t xml:space="preserve">remedies;</w:t>
      </w:r>
    </w:p>
    <w:p w:rsidR="00000000" w:rsidDel="00000000" w:rsidP="00000000" w:rsidRDefault="00000000" w:rsidRPr="00000000" w14:paraId="0000004C">
      <w:pPr>
        <w:ind w:left="216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numPr>
          <w:ilvl w:val="0"/>
          <w:numId w:val="2"/>
        </w:numPr>
        <w:ind w:left="144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Appendices and other supporting material.</w:t>
      </w:r>
    </w:p>
    <w:p w:rsidR="00000000" w:rsidDel="00000000" w:rsidP="00000000" w:rsidRDefault="00000000" w:rsidRPr="00000000" w14:paraId="0000004E">
      <w:pPr>
        <w:ind w:left="720" w:firstLine="0"/>
        <w:rPr>
          <w:rFonts w:ascii="Arial Narrow" w:cs="Arial Narrow" w:eastAsia="Arial Narrow" w:hAnsi="Arial Narrow"/>
        </w:rPr>
      </w:pPr>
      <w:r w:rsidDel="00000000" w:rsidR="00000000" w:rsidRPr="00000000">
        <w:rPr>
          <w:rFonts w:ascii="Arial Narrow" w:cs="Arial Narrow" w:eastAsia="Arial Narrow" w:hAnsi="Arial Narrow"/>
          <w:rtl w:val="0"/>
        </w:rPr>
        <w:tab/>
      </w:r>
    </w:p>
    <w:p w:rsidR="00000000" w:rsidDel="00000000" w:rsidP="00000000" w:rsidRDefault="00000000" w:rsidRPr="00000000" w14:paraId="0000004F">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SUBJECT MATTER OF DISPUTE</w:t>
      </w:r>
    </w:p>
    <w:p w:rsidR="00000000" w:rsidDel="00000000" w:rsidP="00000000" w:rsidRDefault="00000000" w:rsidRPr="00000000" w14:paraId="00000051">
      <w:pPr>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52">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very brief details of the dispute, in particular clarifying any areas where the Defendant disagrees with the description of the subject matter of the dispute given by the Claimant.</w:t>
      </w:r>
    </w:p>
    <w:p w:rsidR="00000000" w:rsidDel="00000000" w:rsidP="00000000" w:rsidRDefault="00000000" w:rsidRPr="00000000" w14:paraId="00000053">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4">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details of such relevant background information </w:t>
      </w:r>
      <w:r w:rsidDel="00000000" w:rsidR="00000000" w:rsidRPr="00000000">
        <w:rPr>
          <w:rFonts w:ascii="Arial Narrow" w:cs="Arial Narrow" w:eastAsia="Arial Narrow" w:hAnsi="Arial Narrow"/>
          <w:i w:val="1"/>
          <w:u w:val="single"/>
          <w:rtl w:val="0"/>
        </w:rPr>
        <w:t xml:space="preserve">not already given by the Claimant </w:t>
      </w:r>
      <w:r w:rsidDel="00000000" w:rsidR="00000000" w:rsidRPr="00000000">
        <w:rPr>
          <w:rFonts w:ascii="Arial Narrow" w:cs="Arial Narrow" w:eastAsia="Arial Narrow" w:hAnsi="Arial Narrow"/>
          <w:i w:val="1"/>
          <w:rtl w:val="0"/>
        </w:rPr>
        <w:t xml:space="preserve">as is necessary to ensure a common level of understanding of all members of the ADA, including details of the contractual framework surrounding the obligations of the parties in relation to the dispute. This is also the opportunity to make the case that the Claimant has sought to introduce as relevant material which the Defendant considers does not relate to the circumstances in dispute.</w:t>
      </w:r>
    </w:p>
    <w:p w:rsidR="00000000" w:rsidDel="00000000" w:rsidP="00000000" w:rsidRDefault="00000000" w:rsidRPr="00000000" w14:paraId="00000055">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6">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details of any relevant provisions of the Underlying Contract(s) that the dispute relates to, or is associated with, that have not been cited in the Claimant’s Reference but which the Defendant considers supports its case.</w:t>
      </w:r>
    </w:p>
    <w:p w:rsidR="00000000" w:rsidDel="00000000" w:rsidP="00000000" w:rsidRDefault="00000000" w:rsidRPr="00000000" w14:paraId="00000057">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8">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p>
    <w:p w:rsidR="00000000" w:rsidDel="00000000" w:rsidP="00000000" w:rsidRDefault="00000000" w:rsidRPr="00000000" w14:paraId="00000059">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A">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Ensure that a copy of the relevant </w:t>
      </w:r>
      <w:r w:rsidDel="00000000" w:rsidR="00000000" w:rsidRPr="00000000">
        <w:rPr>
          <w:rFonts w:ascii="Arial Narrow" w:cs="Arial Narrow" w:eastAsia="Arial Narrow" w:hAnsi="Arial Narrow"/>
          <w:i w:val="1"/>
          <w:u w:val="single"/>
          <w:rtl w:val="0"/>
        </w:rPr>
        <w:t xml:space="preserve">extract(s) f</w:t>
      </w:r>
      <w:r w:rsidDel="00000000" w:rsidR="00000000" w:rsidRPr="00000000">
        <w:rPr>
          <w:rFonts w:ascii="Arial Narrow" w:cs="Arial Narrow" w:eastAsia="Arial Narrow" w:hAnsi="Arial Narrow"/>
          <w:i w:val="1"/>
          <w:rtl w:val="0"/>
        </w:rPr>
        <w:t xml:space="preserve">rom the document(s) referred to above is/ are provided as Appendices. </w:t>
      </w:r>
    </w:p>
    <w:p w:rsidR="00000000" w:rsidDel="00000000" w:rsidP="00000000" w:rsidRDefault="00000000" w:rsidRPr="00000000" w14:paraId="0000005B">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C">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NOTE: It can be assumed that an ADA will have access to a current edition of the Network Code. However,</w:t>
      </w:r>
    </w:p>
    <w:p w:rsidR="00000000" w:rsidDel="00000000" w:rsidP="00000000" w:rsidRDefault="00000000" w:rsidRPr="00000000" w14:paraId="0000005D">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5E">
      <w:pPr>
        <w:numPr>
          <w:ilvl w:val="0"/>
          <w:numId w:val="8"/>
        </w:num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the dispute derives from actions taken (or not taken) before the date of introduction of the relevant pages of the current Network Code, the Claimant should ensure that the ADA is supplied with the </w:t>
      </w:r>
      <w:r w:rsidDel="00000000" w:rsidR="00000000" w:rsidRPr="00000000">
        <w:rPr>
          <w:rFonts w:ascii="Arial Narrow" w:cs="Arial Narrow" w:eastAsia="Arial Narrow" w:hAnsi="Arial Narrow"/>
          <w:i w:val="1"/>
          <w:u w:val="single"/>
          <w:rtl w:val="0"/>
        </w:rPr>
        <w:t xml:space="preserve">relevant pages </w:t>
      </w:r>
      <w:r w:rsidDel="00000000" w:rsidR="00000000" w:rsidRPr="00000000">
        <w:rPr>
          <w:rFonts w:ascii="Arial Narrow" w:cs="Arial Narrow" w:eastAsia="Arial Narrow" w:hAnsi="Arial Narrow"/>
          <w:i w:val="1"/>
          <w:rtl w:val="0"/>
        </w:rPr>
        <w:t xml:space="preserve">of the applicable version.</w:t>
      </w:r>
    </w:p>
    <w:p w:rsidR="00000000" w:rsidDel="00000000" w:rsidP="00000000" w:rsidRDefault="00000000" w:rsidRPr="00000000" w14:paraId="0000005F">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0">
      <w:pPr>
        <w:numPr>
          <w:ilvl w:val="0"/>
          <w:numId w:val="8"/>
        </w:num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parties should not assume that the ADA members have personal copies or knowledge of the relevant parts (in particular any Schedules) of the specific access agreements in dispute whether or not governed by Model Clauses. The Committee Secretariat is available to give advice.</w:t>
      </w:r>
    </w:p>
    <w:p w:rsidR="00000000" w:rsidDel="00000000" w:rsidP="00000000" w:rsidRDefault="00000000" w:rsidRPr="00000000" w14:paraId="00000061">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2">
      <w:pPr>
        <w:numPr>
          <w:ilvl w:val="0"/>
          <w:numId w:val="5"/>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details of any other documents that are relevant to the dispute. The </w:t>
      </w:r>
      <w:r w:rsidDel="00000000" w:rsidR="00000000" w:rsidRPr="00000000">
        <w:rPr>
          <w:rFonts w:ascii="Arial Narrow" w:cs="Arial Narrow" w:eastAsia="Arial Narrow" w:hAnsi="Arial Narrow"/>
          <w:i w:val="1"/>
          <w:u w:val="single"/>
          <w:rtl w:val="0"/>
        </w:rPr>
        <w:t xml:space="preserve">relevant parts</w:t>
      </w:r>
      <w:r w:rsidDel="00000000" w:rsidR="00000000" w:rsidRPr="00000000">
        <w:rPr>
          <w:rFonts w:ascii="Arial Narrow" w:cs="Arial Narrow" w:eastAsia="Arial Narrow" w:hAnsi="Arial Narrow"/>
          <w:i w:val="1"/>
          <w:rtl w:val="0"/>
        </w:rPr>
        <w:t xml:space="preserve"> must also be copied and annexed to this Defence.</w:t>
      </w:r>
    </w:p>
    <w:p w:rsidR="00000000" w:rsidDel="00000000" w:rsidP="00000000" w:rsidRDefault="00000000" w:rsidRPr="00000000" w14:paraId="00000063">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4">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EXPLANATION  FROM THE DEFENDANT’S PERSPECTIVE OF EACH ISSUE IN </w:t>
      </w:r>
    </w:p>
    <w:p w:rsidR="00000000" w:rsidDel="00000000" w:rsidP="00000000" w:rsidRDefault="00000000" w:rsidRPr="00000000" w14:paraId="00000066">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DISPUTE </w:t>
      </w:r>
    </w:p>
    <w:p w:rsidR="00000000" w:rsidDel="00000000" w:rsidP="00000000" w:rsidRDefault="00000000" w:rsidRPr="00000000" w14:paraId="00000067">
      <w:pPr>
        <w:ind w:left="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068">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section has to achieve four objectives, namely:</w:t>
      </w:r>
    </w:p>
    <w:p w:rsidR="00000000" w:rsidDel="00000000" w:rsidP="00000000" w:rsidRDefault="00000000" w:rsidRPr="00000000" w14:paraId="00000069">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A">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identify any issues raised by the Claimant where the Defendant agrees, broadly or wholly with the Claimant;</w:t>
      </w:r>
    </w:p>
    <w:p w:rsidR="00000000" w:rsidDel="00000000" w:rsidP="00000000" w:rsidRDefault="00000000" w:rsidRPr="00000000" w14:paraId="0000006B">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C">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identify those issues where the Defendant disagrees with the Claimant’s position, together with the reasons for that disagreement;</w:t>
      </w:r>
    </w:p>
    <w:p w:rsidR="00000000" w:rsidDel="00000000" w:rsidP="00000000" w:rsidRDefault="00000000" w:rsidRPr="00000000" w14:paraId="0000006D">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E">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introduce any issues that have not been raised by the Claimant but which the Defendant considers are of material relevance to the overall reference, together with the reasons for that view; and</w:t>
      </w:r>
    </w:p>
    <w:p w:rsidR="00000000" w:rsidDel="00000000" w:rsidP="00000000" w:rsidRDefault="00000000" w:rsidRPr="00000000" w14:paraId="0000006F">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0">
      <w:pPr>
        <w:numPr>
          <w:ilvl w:val="0"/>
          <w:numId w:val="3"/>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To draw all the foregoing together into a demonstration that the Defendant#s case is the stronger, or should otherwise be preferred to that of the Claimant.</w:t>
      </w:r>
    </w:p>
    <w:p w:rsidR="00000000" w:rsidDel="00000000" w:rsidP="00000000" w:rsidRDefault="00000000" w:rsidRPr="00000000" w14:paraId="0000007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Statement of Defence should therefore distinguish clearly, by reference to the Statement of Claim.</w:t>
      </w:r>
    </w:p>
    <w:p w:rsidR="00000000" w:rsidDel="00000000" w:rsidP="00000000" w:rsidRDefault="00000000" w:rsidRPr="00000000" w14:paraId="0000007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4">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5.1</w:t>
      </w: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b w:val="1"/>
          <w:rtl w:val="0"/>
        </w:rPr>
        <w:t xml:space="preserve">Issues where the Defendant Accepts the Claimant’s Case</w:t>
      </w:r>
    </w:p>
    <w:p w:rsidR="00000000" w:rsidDel="00000000" w:rsidP="00000000" w:rsidRDefault="00000000" w:rsidRPr="00000000" w14:paraId="00000075">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6">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5.2</w:t>
        <w:tab/>
        <w:t xml:space="preserve">Issues where the Defendant qualifies or refutes the Claimant’s Case, and the reasons therefore.</w:t>
      </w:r>
    </w:p>
    <w:p w:rsidR="00000000" w:rsidDel="00000000" w:rsidP="00000000" w:rsidRDefault="00000000" w:rsidRPr="00000000" w14:paraId="00000077">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8">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5.3</w:t>
        <w:tab/>
        <w:t xml:space="preserve">Issues not addressed by the Claimant that the Defendant considers should  be taken into account as material to the determination, and the reasons supporting these conditions.</w:t>
      </w:r>
    </w:p>
    <w:p w:rsidR="00000000" w:rsidDel="00000000" w:rsidP="00000000" w:rsidRDefault="00000000" w:rsidRPr="00000000" w14:paraId="00000079">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A">
      <w:pPr>
        <w:ind w:left="720"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5.4</w:t>
        <w:tab/>
        <w:t xml:space="preserve">Why the arguments raised in 5.1 to 5.3 taken together favour the position of the Defendant</w:t>
      </w:r>
    </w:p>
    <w:p w:rsidR="00000000" w:rsidDel="00000000" w:rsidP="00000000" w:rsidRDefault="00000000" w:rsidRPr="00000000" w14:paraId="0000007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in any case brought before an ADA should keep in mind that in most cases the ADA needs to be given:</w:t>
      </w:r>
    </w:p>
    <w:p w:rsidR="00000000" w:rsidDel="00000000" w:rsidP="00000000" w:rsidRDefault="00000000" w:rsidRPr="00000000" w14:paraId="0000007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E">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and logical exposition of the factors that support the rightness of the Defendant’s actions or position (or failing one “Right” position, the “wisdom” of the position adopted). Where the argument requires reference to any contractual provision, the precise </w:t>
      </w:r>
      <w:r w:rsidDel="00000000" w:rsidR="00000000" w:rsidRPr="00000000">
        <w:rPr>
          <w:rFonts w:ascii="Arial Narrow" w:cs="Arial Narrow" w:eastAsia="Arial Narrow" w:hAnsi="Arial Narrow"/>
          <w:i w:val="1"/>
          <w:u w:val="single"/>
          <w:rtl w:val="0"/>
        </w:rPr>
        <w:t xml:space="preserve">extract</w:t>
      </w:r>
      <w:r w:rsidDel="00000000" w:rsidR="00000000" w:rsidRPr="00000000">
        <w:rPr>
          <w:rFonts w:ascii="Arial Narrow" w:cs="Arial Narrow" w:eastAsia="Arial Narrow" w:hAnsi="Arial Narrow"/>
          <w:i w:val="1"/>
          <w:rtl w:val="0"/>
        </w:rPr>
        <w:t xml:space="preserve"> should be quoted verbatim;</w:t>
      </w:r>
    </w:p>
    <w:p w:rsidR="00000000" w:rsidDel="00000000" w:rsidP="00000000" w:rsidRDefault="00000000" w:rsidRPr="00000000" w14:paraId="0000007F">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0">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clear statement of each point where the Defendant refutes the Claimant’s arguments or conclusions, such that the extent of the differences between the parties can be clearly appreciated;</w:t>
      </w:r>
    </w:p>
    <w:p w:rsidR="00000000" w:rsidDel="00000000" w:rsidP="00000000" w:rsidRDefault="00000000" w:rsidRPr="00000000" w14:paraId="00000081">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2">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Clarification in respect of each point of difference whether the issue is primarily one of principle, or of quantification in respect of a specific instance or instances;</w:t>
      </w:r>
    </w:p>
    <w:p w:rsidR="00000000" w:rsidDel="00000000" w:rsidP="00000000" w:rsidRDefault="00000000" w:rsidRPr="00000000" w14:paraId="00000083">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4">
      <w:pPr>
        <w:numPr>
          <w:ilvl w:val="0"/>
          <w:numId w:val="7"/>
        </w:numPr>
        <w:ind w:left="720" w:hanging="360"/>
        <w:rPr>
          <w:i w:val="1"/>
          <w:u w:val="none"/>
        </w:rPr>
      </w:pPr>
      <w:r w:rsidDel="00000000" w:rsidR="00000000" w:rsidRPr="00000000">
        <w:rPr>
          <w:rFonts w:ascii="Arial Narrow" w:cs="Arial Narrow" w:eastAsia="Arial Narrow" w:hAnsi="Arial Narrow"/>
          <w:i w:val="1"/>
          <w:rtl w:val="0"/>
        </w:rPr>
        <w:t xml:space="preserve">A clear summary of the Defendant’s individual view of the practical implications of the dispute (e.g. numbers of trains potentially affected, ditto passengers or freight customers, order of magnitude of any financial impact). Given the provisions of ADR Rule G5, requiring the ADA to </w:t>
      </w:r>
      <w:r w:rsidDel="00000000" w:rsidR="00000000" w:rsidRPr="00000000">
        <w:rPr>
          <w:rFonts w:ascii="Arial Narrow" w:cs="Arial Narrow" w:eastAsia="Arial Narrow" w:hAnsi="Arial Narrow"/>
          <w:b w:val="1"/>
          <w:i w:val="1"/>
          <w:rtl w:val="0"/>
        </w:rPr>
        <w:t xml:space="preserve">“be administered in a way which is proportionate to … the objective importance of the dispute to the Dispute Parties”</w:t>
      </w:r>
      <w:r w:rsidDel="00000000" w:rsidR="00000000" w:rsidRPr="00000000">
        <w:rPr>
          <w:rFonts w:ascii="Arial Narrow" w:cs="Arial Narrow" w:eastAsia="Arial Narrow" w:hAnsi="Arial Narrow"/>
          <w:i w:val="1"/>
          <w:rtl w:val="0"/>
        </w:rPr>
        <w:t xml:space="preserve"> then even in cases of “principle”, the ADA is reasonably entitled to know how the business of a Party is affected by any possible outcome of the dispute;</w:t>
      </w:r>
      <w:r w:rsidDel="00000000" w:rsidR="00000000" w:rsidRPr="00000000">
        <w:rPr>
          <w:rtl w:val="0"/>
        </w:rPr>
      </w:r>
    </w:p>
    <w:p w:rsidR="00000000" w:rsidDel="00000000" w:rsidP="00000000" w:rsidRDefault="00000000" w:rsidRPr="00000000" w14:paraId="00000085">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6">
      <w:pPr>
        <w:numPr>
          <w:ilvl w:val="0"/>
          <w:numId w:val="7"/>
        </w:numPr>
        <w:ind w:left="720" w:hanging="36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Confirmation that the Defendant is in agreement with the Claimant in respect of any aspects of the dispute that the Parties do not wish the Chair to address. This could include instances where, for example, the Parties have agreed to test a matter of principle, but reserve to themselves the consequent negotiation of any settlement of quantum.</w:t>
      </w:r>
    </w:p>
    <w:p w:rsidR="00000000" w:rsidDel="00000000" w:rsidP="00000000" w:rsidRDefault="00000000" w:rsidRPr="00000000" w14:paraId="00000087">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8">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DECISION SOUGHT FROM THE ADJUDICATION</w:t>
      </w:r>
    </w:p>
    <w:p w:rsidR="00000000" w:rsidDel="00000000" w:rsidP="00000000" w:rsidRDefault="00000000" w:rsidRPr="00000000" w14:paraId="00000089">
      <w:pPr>
        <w:ind w:left="720" w:firstLine="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8A">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6.1</w:t>
      </w:r>
      <w:r w:rsidDel="00000000" w:rsidR="00000000" w:rsidRPr="00000000">
        <w:rPr>
          <w:rFonts w:ascii="Arial Narrow" w:cs="Arial Narrow" w:eastAsia="Arial Narrow" w:hAnsi="Arial Narrow"/>
          <w:i w:val="1"/>
          <w:rtl w:val="0"/>
        </w:rPr>
        <w:tab/>
        <w:t xml:space="preserve">The Defendant should set out the outcome it is seeking from the Chair’s determination, differentiating between: </w:t>
      </w:r>
    </w:p>
    <w:p w:rsidR="00000000" w:rsidDel="00000000" w:rsidP="00000000" w:rsidRDefault="00000000" w:rsidRPr="00000000" w14:paraId="0000008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C">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6.1.1</w:t>
        <w:tab/>
      </w:r>
      <w:r w:rsidDel="00000000" w:rsidR="00000000" w:rsidRPr="00000000">
        <w:rPr>
          <w:rFonts w:ascii="Arial Narrow" w:cs="Arial Narrow" w:eastAsia="Arial Narrow" w:hAnsi="Arial Narrow"/>
          <w:i w:val="1"/>
          <w:rtl w:val="0"/>
        </w:rPr>
        <w:t xml:space="preserve">the matters of principle</w:t>
      </w:r>
    </w:p>
    <w:p w:rsidR="00000000" w:rsidDel="00000000" w:rsidP="00000000" w:rsidRDefault="00000000" w:rsidRPr="00000000" w14:paraId="0000008D">
      <w:pPr>
        <w:ind w:left="72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E">
      <w:pPr>
        <w:ind w:left="72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ab/>
      </w:r>
      <w:r w:rsidDel="00000000" w:rsidR="00000000" w:rsidRPr="00000000">
        <w:rPr>
          <w:rFonts w:ascii="Arial Narrow" w:cs="Arial Narrow" w:eastAsia="Arial Narrow" w:hAnsi="Arial Narrow"/>
          <w:rtl w:val="0"/>
        </w:rPr>
        <w:t xml:space="preserve">6.1.2</w:t>
      </w:r>
      <w:r w:rsidDel="00000000" w:rsidR="00000000" w:rsidRPr="00000000">
        <w:rPr>
          <w:rFonts w:ascii="Arial Narrow" w:cs="Arial Narrow" w:eastAsia="Arial Narrow" w:hAnsi="Arial Narrow"/>
          <w:i w:val="1"/>
          <w:rtl w:val="0"/>
        </w:rPr>
        <w:tab/>
        <w:t xml:space="preserve">specific conclusions deriving from those matters of principle.</w:t>
      </w:r>
    </w:p>
    <w:p w:rsidR="00000000" w:rsidDel="00000000" w:rsidP="00000000" w:rsidRDefault="00000000" w:rsidRPr="00000000" w14:paraId="0000008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0">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all their arguments and representations, the Defendant should remember that the Chair is constrained by </w:t>
      </w:r>
      <w:r w:rsidDel="00000000" w:rsidR="00000000" w:rsidRPr="00000000">
        <w:rPr>
          <w:rFonts w:ascii="Arial Narrow" w:cs="Arial Narrow" w:eastAsia="Arial Narrow" w:hAnsi="Arial Narrow"/>
          <w:b w:val="1"/>
          <w:i w:val="1"/>
          <w:rtl w:val="0"/>
        </w:rPr>
        <w:t xml:space="preserve">ADR Rule A5 </w:t>
      </w:r>
      <w:r w:rsidDel="00000000" w:rsidR="00000000" w:rsidRPr="00000000">
        <w:rPr>
          <w:rFonts w:ascii="Arial Narrow" w:cs="Arial Narrow" w:eastAsia="Arial Narrow" w:hAnsi="Arial Narrow"/>
          <w:i w:val="1"/>
          <w:rtl w:val="0"/>
        </w:rPr>
        <w:t xml:space="preserve">which states: “Each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p>
    <w:p w:rsidR="00000000" w:rsidDel="00000000" w:rsidP="00000000" w:rsidRDefault="00000000" w:rsidRPr="00000000" w14:paraId="00000091">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2">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Defendant will have a clear reason why it has not already settled the dispute and the result that it wishes the Chair to deliver. There is a need therefore for it to set down clearly what it wants the Chair to find in its favour.</w:t>
      </w:r>
    </w:p>
    <w:p w:rsidR="00000000" w:rsidDel="00000000" w:rsidP="00000000" w:rsidRDefault="00000000" w:rsidRPr="00000000" w14:paraId="00000093">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4">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Logically, when preparing the submission, the decision sought from the Chair should be the first thing finalised, and arguments marshalled to refute the case made by the Claimant. That said, the Defendant should be clear that the decision sought is one that a Chair can give. </w:t>
      </w:r>
    </w:p>
    <w:p w:rsidR="00000000" w:rsidDel="00000000" w:rsidP="00000000" w:rsidRDefault="00000000" w:rsidRPr="00000000" w14:paraId="00000095">
      <w:pPr>
        <w:ind w:left="0"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6">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Claimant will have set out any specific remedies sought. For example “as a result of the decided principle(s) above, the Defendant is liable to pay £X to the Claimant”.</w:t>
      </w:r>
    </w:p>
    <w:p w:rsidR="00000000" w:rsidDel="00000000" w:rsidP="00000000" w:rsidRDefault="00000000" w:rsidRPr="00000000" w14:paraId="00000097">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Remedy is what the aggrieved Dispute Party contends it should be granted if the Chair finds in its favour. Access agreements are frequently prescriptive about such matters and there are no benefits to be won from advancing arguments for remedies that lie outside the Chair’s powers which are governed by </w:t>
      </w:r>
      <w:r w:rsidDel="00000000" w:rsidR="00000000" w:rsidRPr="00000000">
        <w:rPr>
          <w:rFonts w:ascii="Arial Narrow" w:cs="Arial Narrow" w:eastAsia="Arial Narrow" w:hAnsi="Arial Narrow"/>
          <w:b w:val="1"/>
          <w:i w:val="1"/>
          <w:rtl w:val="0"/>
        </w:rPr>
        <w:t xml:space="preserve">ADR Rule A6,</w:t>
      </w:r>
      <w:r w:rsidDel="00000000" w:rsidR="00000000" w:rsidRPr="00000000">
        <w:rPr>
          <w:rFonts w:ascii="Arial Narrow" w:cs="Arial Narrow" w:eastAsia="Arial Narrow" w:hAnsi="Arial Narrow"/>
          <w:i w:val="1"/>
          <w:rtl w:val="0"/>
        </w:rPr>
        <w:t xml:space="preserve"> which states: “Each and very Forum shall:</w:t>
      </w:r>
    </w:p>
    <w:p w:rsidR="00000000" w:rsidDel="00000000" w:rsidP="00000000" w:rsidRDefault="00000000" w:rsidRPr="00000000" w14:paraId="0000009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A">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Where the Access Conditions or Underlying Contract require that a specific remedy be granted, grant the remedy accordingly; or</w:t>
      </w:r>
    </w:p>
    <w:p w:rsidR="00000000" w:rsidDel="00000000" w:rsidP="00000000" w:rsidRDefault="00000000" w:rsidRPr="00000000" w14:paraId="0000009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w:t>
        <w:tab/>
        <w:t xml:space="preserve">Where a specific remedy is provided for at law, grant that remedy accordingly; or</w:t>
      </w:r>
    </w:p>
    <w:p w:rsidR="00000000" w:rsidDel="00000000" w:rsidP="00000000" w:rsidRDefault="00000000" w:rsidRPr="00000000" w14:paraId="0000009D">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E">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w:t>
        <w:tab/>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p>
    <w:p w:rsidR="00000000" w:rsidDel="00000000" w:rsidP="00000000" w:rsidRDefault="00000000" w:rsidRPr="00000000" w14:paraId="0000009F">
      <w:pPr>
        <w:ind w:left="720.0000000000001" w:hanging="720.0000000000001"/>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0">
      <w:pPr>
        <w:ind w:left="0"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a Defendant wishes to argue for an exercise of “discretion” as in (c) above, it must consider whether the Chair has such discretion given the provisions of (a) and (b).</w:t>
      </w:r>
    </w:p>
    <w:p w:rsidR="00000000" w:rsidDel="00000000" w:rsidP="00000000" w:rsidRDefault="00000000" w:rsidRPr="00000000" w14:paraId="000000A1">
      <w:pPr>
        <w:ind w:left="720.0000000000001" w:hanging="720.00000000000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2">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rtl w:val="0"/>
        </w:rPr>
        <w:tab/>
        <w:t xml:space="preserve">6.2</w:t>
        <w:tab/>
      </w:r>
      <w:r w:rsidDel="00000000" w:rsidR="00000000" w:rsidRPr="00000000">
        <w:rPr>
          <w:rFonts w:ascii="Arial Narrow" w:cs="Arial Narrow" w:eastAsia="Arial Narrow" w:hAnsi="Arial Narrow"/>
          <w:i w:val="1"/>
          <w:rtl w:val="0"/>
        </w:rPr>
        <w:t xml:space="preserve">Clarify whether you wish the Hearing Chair to decide other issues - such as</w:t>
      </w:r>
    </w:p>
    <w:p w:rsidR="00000000" w:rsidDel="00000000" w:rsidP="00000000" w:rsidRDefault="00000000" w:rsidRPr="00000000" w14:paraId="000000A3">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ordering costs.</w:t>
      </w:r>
    </w:p>
    <w:p w:rsidR="00000000" w:rsidDel="00000000" w:rsidP="00000000" w:rsidRDefault="00000000" w:rsidRPr="00000000" w14:paraId="000000A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5">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APPENDICES</w:t>
      </w:r>
    </w:p>
    <w:p w:rsidR="00000000" w:rsidDel="00000000" w:rsidP="00000000" w:rsidRDefault="00000000" w:rsidRPr="00000000" w14:paraId="000000A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Defendant confirms that it has complied with Access Dispute Resolution Rule G16(b)(vi) </w:t>
      </w:r>
    </w:p>
    <w:p w:rsidR="00000000" w:rsidDel="00000000" w:rsidP="00000000" w:rsidRDefault="00000000" w:rsidRPr="00000000" w14:paraId="000000A8">
      <w:pPr>
        <w:rPr>
          <w:rFonts w:ascii="Arial Narrow" w:cs="Arial Narrow" w:eastAsia="Arial Narrow" w:hAnsi="Arial Narrow"/>
          <w:i w:val="1"/>
          <w:u w:val="single"/>
        </w:rPr>
      </w:pPr>
      <w:r w:rsidDel="00000000" w:rsidR="00000000" w:rsidRPr="00000000">
        <w:rPr>
          <w:rFonts w:ascii="Arial Narrow" w:cs="Arial Narrow" w:eastAsia="Arial Narrow" w:hAnsi="Arial Narrow"/>
          <w:i w:val="1"/>
          <w:rtl w:val="0"/>
        </w:rPr>
        <w:t xml:space="preserve">[which requires that, “Copies of the following documents… shall be annexed and cross referenced to the response, </w:t>
      </w:r>
      <w:r w:rsidDel="00000000" w:rsidR="00000000" w:rsidRPr="00000000">
        <w:rPr>
          <w:rFonts w:ascii="Arial Narrow" w:cs="Arial Narrow" w:eastAsia="Arial Narrow" w:hAnsi="Arial Narrow"/>
          <w:i w:val="1"/>
          <w:u w:val="single"/>
          <w:rtl w:val="0"/>
        </w:rPr>
        <w:t xml:space="preserve">if not dealt with in the statement of claim;</w:t>
      </w:r>
    </w:p>
    <w:p w:rsidR="00000000" w:rsidDel="00000000" w:rsidP="00000000" w:rsidRDefault="00000000" w:rsidRPr="00000000" w14:paraId="000000A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A">
      <w:pPr>
        <w:ind w:left="720.0000000000001" w:hanging="720.0000000000001"/>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w:t>
        <w:tab/>
        <w:t xml:space="preserve">the relevant</w:t>
      </w:r>
      <w:r w:rsidDel="00000000" w:rsidR="00000000" w:rsidRPr="00000000">
        <w:rPr>
          <w:rFonts w:ascii="Arial Narrow" w:cs="Arial Narrow" w:eastAsia="Arial Narrow" w:hAnsi="Arial Narrow"/>
          <w:i w:val="1"/>
          <w:u w:val="single"/>
          <w:rtl w:val="0"/>
        </w:rPr>
        <w:t xml:space="preserve"> extracts </w:t>
      </w:r>
      <w:r w:rsidDel="00000000" w:rsidR="00000000" w:rsidRPr="00000000">
        <w:rPr>
          <w:rFonts w:ascii="Arial Narrow" w:cs="Arial Narrow" w:eastAsia="Arial Narrow" w:hAnsi="Arial Narrow"/>
          <w:i w:val="1"/>
          <w:rtl w:val="0"/>
        </w:rPr>
        <w:t xml:space="preserve">of contractual Documents containing the provision(s) under which the referral to the ADA arise and/or provision(s) associated with the substance of the dispute; and</w:t>
      </w:r>
    </w:p>
    <w:p w:rsidR="00000000" w:rsidDel="00000000" w:rsidP="00000000" w:rsidRDefault="00000000" w:rsidRPr="00000000" w14:paraId="000000AB">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A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w:t>
        <w:tab/>
        <w:t xml:space="preserve">[the relevant </w:t>
      </w:r>
      <w:r w:rsidDel="00000000" w:rsidR="00000000" w:rsidRPr="00000000">
        <w:rPr>
          <w:rFonts w:ascii="Arial Narrow" w:cs="Arial Narrow" w:eastAsia="Arial Narrow" w:hAnsi="Arial Narrow"/>
          <w:i w:val="1"/>
          <w:u w:val="single"/>
          <w:rtl w:val="0"/>
        </w:rPr>
        <w:t xml:space="preserve">extracts</w:t>
      </w:r>
      <w:r w:rsidDel="00000000" w:rsidR="00000000" w:rsidRPr="00000000">
        <w:rPr>
          <w:rFonts w:ascii="Arial Narrow" w:cs="Arial Narrow" w:eastAsia="Arial Narrow" w:hAnsi="Arial Narrow"/>
          <w:u w:val="single"/>
          <w:rtl w:val="0"/>
        </w:rPr>
        <w:t xml:space="preserve"> </w:t>
      </w:r>
      <w:r w:rsidDel="00000000" w:rsidR="00000000" w:rsidRPr="00000000">
        <w:rPr>
          <w:rFonts w:ascii="Arial Narrow" w:cs="Arial Narrow" w:eastAsia="Arial Narrow" w:hAnsi="Arial Narrow"/>
          <w:i w:val="1"/>
          <w:rtl w:val="0"/>
        </w:rPr>
        <w:t xml:space="preserve">of any other Documents referred to in the defence”.].</w:t>
      </w:r>
    </w:p>
    <w:p w:rsidR="00000000" w:rsidDel="00000000" w:rsidP="00000000" w:rsidRDefault="00000000" w:rsidRPr="00000000" w14:paraId="000000A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E">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Where the dispute relates to previous (i.e. no longer current) versions of the Access Conditions/ The Network Code, all relevant </w:t>
      </w:r>
      <w:r w:rsidDel="00000000" w:rsidR="00000000" w:rsidRPr="00000000">
        <w:rPr>
          <w:rFonts w:ascii="Arial Narrow" w:cs="Arial Narrow" w:eastAsia="Arial Narrow" w:hAnsi="Arial Narrow"/>
          <w:i w:val="1"/>
          <w:u w:val="single"/>
          <w:rtl w:val="0"/>
        </w:rPr>
        <w:t xml:space="preserve">extracts </w:t>
      </w:r>
      <w:r w:rsidDel="00000000" w:rsidR="00000000" w:rsidRPr="00000000">
        <w:rPr>
          <w:rFonts w:ascii="Arial Narrow" w:cs="Arial Narrow" w:eastAsia="Arial Narrow" w:hAnsi="Arial Narrow"/>
          <w:i w:val="1"/>
          <w:rtl w:val="0"/>
        </w:rPr>
        <w:t xml:space="preserve">of the applicable documents are to be included.</w:t>
      </w:r>
    </w:p>
    <w:p w:rsidR="00000000" w:rsidDel="00000000" w:rsidP="00000000" w:rsidRDefault="00000000" w:rsidRPr="00000000" w14:paraId="000000AF">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B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appendices and annexes are bound into the submission and consecutively page numbered. To assist the ADA, quotations or references that are cited in the formal submission are highlighted (or side-lined) so that the context of the quotation or reference is apparent. Any information only made available after the main submission has been submitted to the ADA will be consecutively numbered so as to follow on at the conclusion of the previous submission.</w:t>
      </w:r>
    </w:p>
    <w:p w:rsidR="00000000" w:rsidDel="00000000" w:rsidP="00000000" w:rsidRDefault="00000000" w:rsidRPr="00000000" w14:paraId="000000B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3">
      <w:pPr>
        <w:numPr>
          <w:ilvl w:val="0"/>
          <w:numId w:val="4"/>
        </w:numPr>
        <w:ind w:left="720" w:hanging="36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SIGNATURE</w:t>
      </w:r>
    </w:p>
    <w:p w:rsidR="00000000" w:rsidDel="00000000" w:rsidP="00000000" w:rsidRDefault="00000000" w:rsidRPr="00000000" w14:paraId="000000B4">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5">
      <w:pPr>
        <w:rPr>
          <w:rFonts w:ascii="Arial Narrow" w:cs="Arial Narrow" w:eastAsia="Arial Narrow" w:hAnsi="Arial Narrow"/>
        </w:rPr>
      </w:pPr>
      <w:r w:rsidDel="00000000" w:rsidR="00000000" w:rsidRPr="00000000">
        <w:rPr>
          <w:rtl w:val="0"/>
        </w:rPr>
      </w:r>
    </w:p>
    <w:tbl>
      <w:tblPr>
        <w:tblStyle w:val="Table1"/>
        <w:tblW w:w="4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tblGridChange w:id="0">
          <w:tblGrid>
            <w:gridCol w:w="4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For and on behalf of </w:t>
            </w:r>
            <w:r w:rsidDel="00000000" w:rsidR="00000000" w:rsidRPr="00000000">
              <w:rPr>
                <w:rFonts w:ascii="Arial Narrow" w:cs="Arial Narrow" w:eastAsia="Arial Narrow" w:hAnsi="Arial Narrow"/>
                <w:i w:val="1"/>
                <w:sz w:val="18"/>
                <w:szCs w:val="18"/>
                <w:rtl w:val="0"/>
              </w:rPr>
              <w:t xml:space="preserve">[Insert Company Name] </w:t>
            </w:r>
            <w:r w:rsidDel="00000000" w:rsidR="00000000" w:rsidRPr="00000000">
              <w:rPr>
                <w:rFonts w:ascii="Arial Narrow" w:cs="Arial Narrow" w:eastAsia="Arial Narrow" w:hAnsi="Arial Narrow"/>
                <w:sz w:val="18"/>
                <w:szCs w:val="18"/>
                <w:rtl w:val="0"/>
              </w:rPr>
              <w:t xml:space="preserve">Ltd</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Signed</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Print Name</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__________________________________________</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Position</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C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8">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the control mechanism; it provides the ADA with assurance that the dispute has been defended with the knowledge and understanding of the relevant corporate body. This is important, as engaging in formal dispute resolution implies a commitment to accepting the outcome of that process.</w:t>
      </w:r>
    </w:p>
    <w:p w:rsidR="00000000" w:rsidDel="00000000" w:rsidP="00000000" w:rsidRDefault="00000000" w:rsidRPr="00000000" w14:paraId="000000C9">
      <w:pP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CA">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 this context, the Defendant is reminded that in sending representatives to argue its case before the ADA, “it shall… ensure that (a) the competencies, skills and knowledge of any chosen representative are appropriate to the issues involved in the dispute (content, subject and value); [ADR Rule A19]</w:t>
      </w:r>
    </w:p>
    <w:p w:rsidR="00000000" w:rsidDel="00000000" w:rsidP="00000000" w:rsidRDefault="00000000" w:rsidRPr="00000000" w14:paraId="000000C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C">
      <w:pP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Now provide the Appendices (</w:t>
      </w:r>
      <w:r w:rsidDel="00000000" w:rsidR="00000000" w:rsidRPr="00000000">
        <w:rPr>
          <w:rFonts w:ascii="Arial Narrow" w:cs="Arial Narrow" w:eastAsia="Arial Narrow" w:hAnsi="Arial Narrow"/>
          <w:b w:val="1"/>
          <w:i w:val="1"/>
          <w:rtl w:val="0"/>
        </w:rPr>
        <w:t xml:space="preserve">“The Appendices”</w:t>
      </w:r>
      <w:r w:rsidDel="00000000" w:rsidR="00000000" w:rsidRPr="00000000">
        <w:rPr>
          <w:rFonts w:ascii="Arial Narrow" w:cs="Arial Narrow" w:eastAsia="Arial Narrow" w:hAnsi="Arial Narrow"/>
          <w:i w:val="1"/>
          <w:rtl w:val="0"/>
        </w:rPr>
        <w:t xml:space="preserve">) using a page break. A covering list of Appendices will be helpful. Bear in mind that the Panel and Chair will need to read everything submitted; only include material that will genuinely be helpful to the Panel, for example, do not append entire Network Code Chapters or entire policy documents - the relevant extracts will suffice.</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awnddkuQkxn/oYmydC+zA0IpQ==">CgMxLjAaKwoBMBImCiQIB0IgCgxBcmlhbCBOYXJyb3cSEEFyaWFsIFVuaWNvZGUgTVMaKwoBMRImCiQIB0IgCgxBcmlhbCBOYXJyb3cSEEFyaWFsIFVuaWNvZGUgTVMaKwoBMhImCiQIB0IgCgxBcmlhbCBOYXJyb3cSEEFyaWFsIFVuaWNvZGUgTVMaKwoBMxImCiQIB0IgCgxBcmlhbCBOYXJyb3cSEEFyaWFsIFVuaWNvZGUgTVMyCGguZ2pkZ3hzMgloLjMwajB6bGwyCWguMWZvYjl0ZTIJaC4zem55c2g3OAByITFnSGtIdGJydFlPWGZnNDJGZjh0cEdxR3RBbDhLY1h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